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4EA24" w14:textId="21726B37" w:rsidR="002905F3" w:rsidRPr="001D1BDF" w:rsidRDefault="002905F3" w:rsidP="002905F3">
      <w:pPr>
        <w:widowControl w:val="0"/>
        <w:autoSpaceDE w:val="0"/>
        <w:autoSpaceDN w:val="0"/>
        <w:adjustRightInd w:val="0"/>
        <w:spacing w:after="240"/>
        <w:jc w:val="both"/>
        <w:rPr>
          <w:rFonts w:ascii="Times New Roman" w:hAnsi="Times New Roman" w:cs="Times New Roman"/>
          <w:b/>
          <w:sz w:val="24"/>
          <w:szCs w:val="24"/>
          <w:lang w:val="es-ES_tradnl"/>
        </w:rPr>
      </w:pPr>
      <w:r w:rsidRPr="001D1BDF">
        <w:rPr>
          <w:rFonts w:ascii="Times New Roman" w:hAnsi="Times New Roman" w:cs="Times New Roman"/>
          <w:b/>
          <w:sz w:val="24"/>
          <w:szCs w:val="24"/>
          <w:lang w:val="es-ES_tradnl"/>
        </w:rPr>
        <w:t>INFORME DE CONCILIACIÓN AL PROYECTO DE LEY ESTATUTARIA NO. 003 DE 2017 SENADO – 006 DE 2017 CÁMARA DE 2017</w:t>
      </w:r>
      <w:r w:rsidR="004D6A1E">
        <w:rPr>
          <w:rFonts w:ascii="Times New Roman" w:hAnsi="Times New Roman" w:cs="Times New Roman"/>
          <w:b/>
          <w:sz w:val="24"/>
          <w:szCs w:val="24"/>
          <w:lang w:val="es-ES_tradnl"/>
        </w:rPr>
        <w:t xml:space="preserve"> </w:t>
      </w:r>
      <w:bookmarkStart w:id="0" w:name="_GoBack"/>
      <w:bookmarkEnd w:id="0"/>
      <w:r w:rsidRPr="001D1BDF">
        <w:rPr>
          <w:rFonts w:ascii="Times New Roman" w:hAnsi="Times New Roman" w:cs="Times New Roman"/>
          <w:b/>
          <w:sz w:val="24"/>
          <w:szCs w:val="24"/>
          <w:lang w:val="es-ES_tradnl"/>
        </w:rPr>
        <w:t>“POR MEDIO DE LA CUAL SE ADOPTA EL ESTATUTO DE LA OPOSICIÓN POLÍTICA Y ALGUNOS DERECHOS A LAS ORGANIZACIONES POLÍTICAS INDEPENDIENTES” – Procedimiento Legislativo Especial para la Paz</w:t>
      </w:r>
    </w:p>
    <w:p w14:paraId="74B75DB0" w14:textId="77777777" w:rsidR="002905F3" w:rsidRPr="001D746D" w:rsidRDefault="002905F3" w:rsidP="002905F3">
      <w:pPr>
        <w:pStyle w:val="Sinespaciado"/>
        <w:rPr>
          <w:rFonts w:ascii="Times New Roman" w:hAnsi="Times New Roman" w:cs="Times New Roman"/>
          <w:sz w:val="24"/>
          <w:szCs w:val="24"/>
          <w:lang w:val="es-ES_tradnl"/>
        </w:rPr>
      </w:pPr>
    </w:p>
    <w:p w14:paraId="39921775" w14:textId="77777777" w:rsidR="002905F3" w:rsidRPr="001D746D" w:rsidRDefault="002905F3" w:rsidP="002905F3">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Honorable Senador</w:t>
      </w:r>
    </w:p>
    <w:p w14:paraId="349ABA59" w14:textId="77777777" w:rsidR="002905F3" w:rsidRPr="001D746D" w:rsidRDefault="002905F3" w:rsidP="002905F3">
      <w:pPr>
        <w:pStyle w:val="Sinespaciado"/>
        <w:rPr>
          <w:rFonts w:ascii="Times New Roman" w:hAnsi="Times New Roman" w:cs="Times New Roman"/>
          <w:b/>
          <w:sz w:val="24"/>
          <w:szCs w:val="24"/>
          <w:lang w:val="es-ES_tradnl"/>
        </w:rPr>
      </w:pPr>
      <w:r w:rsidRPr="001D746D">
        <w:rPr>
          <w:rFonts w:ascii="Times New Roman" w:hAnsi="Times New Roman" w:cs="Times New Roman"/>
          <w:b/>
          <w:sz w:val="24"/>
          <w:szCs w:val="24"/>
          <w:lang w:val="es-ES_tradnl"/>
        </w:rPr>
        <w:t>Oscar Mauricio Lizcano</w:t>
      </w:r>
    </w:p>
    <w:p w14:paraId="2EEBAFD1" w14:textId="77777777" w:rsidR="002905F3" w:rsidRPr="001D746D" w:rsidRDefault="002905F3" w:rsidP="002905F3">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Presidente</w:t>
      </w:r>
    </w:p>
    <w:p w14:paraId="22C4A358" w14:textId="77777777" w:rsidR="002905F3" w:rsidRPr="001D746D" w:rsidRDefault="002905F3" w:rsidP="002905F3">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Senado de la República</w:t>
      </w:r>
    </w:p>
    <w:p w14:paraId="6CBB2635" w14:textId="77777777" w:rsidR="002905F3" w:rsidRPr="001D746D" w:rsidRDefault="002905F3" w:rsidP="002905F3">
      <w:pPr>
        <w:pStyle w:val="Sinespaciado"/>
        <w:rPr>
          <w:rFonts w:ascii="Times New Roman" w:hAnsi="Times New Roman" w:cs="Times New Roman"/>
          <w:sz w:val="24"/>
          <w:szCs w:val="24"/>
          <w:lang w:val="es-ES_tradnl"/>
        </w:rPr>
      </w:pPr>
    </w:p>
    <w:p w14:paraId="62B5A4C8" w14:textId="77777777" w:rsidR="002905F3" w:rsidRPr="001D746D" w:rsidRDefault="002905F3" w:rsidP="002905F3">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Honorable Representante</w:t>
      </w:r>
    </w:p>
    <w:p w14:paraId="6D7F6B4A" w14:textId="77777777" w:rsidR="002905F3" w:rsidRPr="001D746D" w:rsidRDefault="002905F3" w:rsidP="002905F3">
      <w:pPr>
        <w:pStyle w:val="Sinespaciado"/>
        <w:rPr>
          <w:rFonts w:ascii="Times New Roman" w:hAnsi="Times New Roman" w:cs="Times New Roman"/>
          <w:b/>
          <w:sz w:val="24"/>
          <w:szCs w:val="24"/>
          <w:lang w:val="es-ES_tradnl"/>
        </w:rPr>
      </w:pPr>
      <w:r w:rsidRPr="001D746D">
        <w:rPr>
          <w:rFonts w:ascii="Times New Roman" w:hAnsi="Times New Roman" w:cs="Times New Roman"/>
          <w:b/>
          <w:sz w:val="24"/>
          <w:szCs w:val="24"/>
          <w:lang w:val="es-ES_tradnl"/>
        </w:rPr>
        <w:t>Miguel Ángel Pinto</w:t>
      </w:r>
    </w:p>
    <w:p w14:paraId="4C43DF88" w14:textId="77777777" w:rsidR="002905F3" w:rsidRPr="001D746D" w:rsidRDefault="002905F3" w:rsidP="002905F3">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 xml:space="preserve">Presidente </w:t>
      </w:r>
    </w:p>
    <w:p w14:paraId="62E342BD" w14:textId="77777777" w:rsidR="002905F3" w:rsidRPr="001D746D" w:rsidRDefault="002905F3" w:rsidP="002905F3">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Cámara de Representantes</w:t>
      </w:r>
    </w:p>
    <w:p w14:paraId="438440CD" w14:textId="77777777" w:rsidR="002905F3" w:rsidRPr="001D746D" w:rsidRDefault="002905F3" w:rsidP="002905F3">
      <w:pPr>
        <w:pStyle w:val="Sinespaciado"/>
        <w:rPr>
          <w:rFonts w:ascii="Times New Roman" w:hAnsi="Times New Roman" w:cs="Times New Roman"/>
          <w:sz w:val="24"/>
          <w:szCs w:val="24"/>
          <w:lang w:val="es-ES_tradnl"/>
        </w:rPr>
      </w:pPr>
    </w:p>
    <w:p w14:paraId="43B6C0C7" w14:textId="77777777" w:rsidR="002905F3" w:rsidRPr="001D1BDF" w:rsidRDefault="002905F3" w:rsidP="002905F3">
      <w:pPr>
        <w:spacing w:after="0" w:line="240" w:lineRule="auto"/>
        <w:ind w:left="708"/>
        <w:jc w:val="both"/>
        <w:rPr>
          <w:rFonts w:ascii="Times New Roman" w:hAnsi="Times New Roman" w:cs="Times New Roman"/>
          <w:sz w:val="24"/>
          <w:szCs w:val="24"/>
          <w:lang w:val="es-ES_tradnl"/>
        </w:rPr>
      </w:pPr>
      <w:r w:rsidRPr="001D1BDF">
        <w:rPr>
          <w:rFonts w:ascii="Times New Roman" w:hAnsi="Times New Roman" w:cs="Times New Roman"/>
          <w:b/>
          <w:sz w:val="24"/>
          <w:szCs w:val="24"/>
          <w:lang w:val="es-ES_tradnl"/>
        </w:rPr>
        <w:t>Referencia:</w:t>
      </w:r>
      <w:r w:rsidRPr="001D1BDF">
        <w:rPr>
          <w:rFonts w:ascii="Times New Roman" w:hAnsi="Times New Roman" w:cs="Times New Roman"/>
          <w:sz w:val="24"/>
          <w:szCs w:val="24"/>
          <w:lang w:val="es-ES_tradnl"/>
        </w:rPr>
        <w:t xml:space="preserve"> Informe de Conciliación al Proyecto de Ley Estatutaria No. 003 de 2017 Senado – 006 de 2017 Cámara  “Por medio de la cual se adopta el Estatuto de la Oposición Política y algunos derechos a las organizaciones políticas independientes” – Procedimiento Legislativo Especial para la Paz. </w:t>
      </w:r>
    </w:p>
    <w:p w14:paraId="550E76FF" w14:textId="77777777" w:rsidR="002905F3" w:rsidRPr="001D746D" w:rsidRDefault="002905F3" w:rsidP="002905F3">
      <w:pPr>
        <w:pStyle w:val="Sinespaciado"/>
        <w:rPr>
          <w:rFonts w:ascii="Times New Roman" w:hAnsi="Times New Roman" w:cs="Times New Roman"/>
          <w:sz w:val="24"/>
          <w:szCs w:val="24"/>
          <w:lang w:val="es-ES_tradnl"/>
        </w:rPr>
      </w:pPr>
    </w:p>
    <w:p w14:paraId="26F7F346" w14:textId="77777777" w:rsidR="002905F3" w:rsidRDefault="002905F3" w:rsidP="002905F3">
      <w:pPr>
        <w:pStyle w:val="Sinespaciado"/>
        <w:rPr>
          <w:rFonts w:ascii="Times New Roman" w:hAnsi="Times New Roman" w:cs="Times New Roman"/>
          <w:sz w:val="24"/>
          <w:szCs w:val="24"/>
          <w:lang w:val="es-ES_tradnl"/>
        </w:rPr>
      </w:pPr>
    </w:p>
    <w:p w14:paraId="113C87B8" w14:textId="77777777" w:rsidR="002905F3" w:rsidRPr="001D746D" w:rsidRDefault="002905F3" w:rsidP="002905F3">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 xml:space="preserve">Señores Presidentes: </w:t>
      </w:r>
    </w:p>
    <w:p w14:paraId="5A2F55AA" w14:textId="77777777" w:rsidR="002905F3" w:rsidRDefault="002905F3" w:rsidP="002905F3">
      <w:pPr>
        <w:pStyle w:val="Sinespaciado"/>
        <w:jc w:val="both"/>
        <w:rPr>
          <w:rFonts w:ascii="Times New Roman" w:hAnsi="Times New Roman" w:cs="Times New Roman"/>
          <w:sz w:val="24"/>
          <w:szCs w:val="24"/>
          <w:lang w:val="es-ES_tradnl"/>
        </w:rPr>
      </w:pPr>
    </w:p>
    <w:p w14:paraId="64F640F5" w14:textId="77777777" w:rsidR="002905F3" w:rsidRPr="001D746D" w:rsidRDefault="002905F3" w:rsidP="002905F3">
      <w:pPr>
        <w:pStyle w:val="Sinespaciado"/>
        <w:ind w:firstLine="708"/>
        <w:jc w:val="both"/>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En cumplimiento de la honrosa designación que nos hicieren, y de conformidad con los artículos 161 de la Constitución Política y 186 de la Ley 5ª de 1992 aplicables en el marco del Procedimiento Legislativo Especial para la Paz derivado de la remisión establecida en el artículo 1º del Acto Legislativo No. 01 de 2</w:t>
      </w:r>
      <w:r>
        <w:rPr>
          <w:rFonts w:ascii="Times New Roman" w:hAnsi="Times New Roman" w:cs="Times New Roman"/>
          <w:sz w:val="24"/>
          <w:szCs w:val="24"/>
          <w:lang w:val="es-ES_tradnl"/>
        </w:rPr>
        <w:t>016, los suscritos Senador y Representante</w:t>
      </w:r>
      <w:r w:rsidRPr="001D746D">
        <w:rPr>
          <w:rFonts w:ascii="Times New Roman" w:hAnsi="Times New Roman" w:cs="Times New Roman"/>
          <w:sz w:val="24"/>
          <w:szCs w:val="24"/>
          <w:lang w:val="es-ES_tradnl"/>
        </w:rPr>
        <w:t xml:space="preserve"> integrantes de la Comisión de Conciliación, </w:t>
      </w:r>
      <w:r w:rsidRPr="001D746D">
        <w:rPr>
          <w:rFonts w:ascii="Times New Roman" w:hAnsi="Times New Roman" w:cs="Times New Roman"/>
          <w:color w:val="000000"/>
          <w:sz w:val="24"/>
          <w:szCs w:val="24"/>
          <w:lang w:val="es-ES_tradnl"/>
        </w:rPr>
        <w:t xml:space="preserve">nos permitimos someter, por su conducto, a consideración de las Plenarias de Senado y de la Cámara de Representantes el texto conciliado al proyecto de </w:t>
      </w:r>
      <w:r>
        <w:rPr>
          <w:rFonts w:ascii="Times New Roman" w:hAnsi="Times New Roman" w:cs="Times New Roman"/>
          <w:color w:val="000000"/>
          <w:sz w:val="24"/>
          <w:szCs w:val="24"/>
          <w:lang w:val="es-ES_tradnl"/>
        </w:rPr>
        <w:t>Ley Estatutaria</w:t>
      </w:r>
      <w:r w:rsidRPr="001D746D">
        <w:rPr>
          <w:rFonts w:ascii="Times New Roman" w:hAnsi="Times New Roman" w:cs="Times New Roman"/>
          <w:color w:val="000000"/>
          <w:sz w:val="24"/>
          <w:szCs w:val="24"/>
          <w:lang w:val="es-ES_tradnl"/>
        </w:rPr>
        <w:t xml:space="preserve"> de la referencia.</w:t>
      </w:r>
      <w:r w:rsidRPr="001D746D">
        <w:rPr>
          <w:rFonts w:ascii="Times" w:hAnsi="Times" w:cs="Times New Roman"/>
          <w:color w:val="000000"/>
          <w:lang w:val="es-ES_tradnl"/>
        </w:rPr>
        <w:t xml:space="preserve"> </w:t>
      </w:r>
      <w:r w:rsidRPr="001D746D">
        <w:rPr>
          <w:rFonts w:ascii="Times New Roman" w:hAnsi="Times New Roman" w:cs="Times New Roman"/>
          <w:sz w:val="24"/>
          <w:szCs w:val="24"/>
          <w:lang w:val="es-ES_tradnl"/>
        </w:rPr>
        <w:t xml:space="preserve">  </w:t>
      </w:r>
    </w:p>
    <w:p w14:paraId="5626EDEA" w14:textId="77777777" w:rsidR="002905F3" w:rsidRPr="001D746D" w:rsidRDefault="002905F3" w:rsidP="002905F3">
      <w:pPr>
        <w:pStyle w:val="Sinespaciado"/>
        <w:jc w:val="both"/>
        <w:rPr>
          <w:rFonts w:ascii="Times New Roman" w:hAnsi="Times New Roman" w:cs="Times New Roman"/>
          <w:sz w:val="24"/>
          <w:szCs w:val="24"/>
          <w:lang w:val="es-ES_tradnl"/>
        </w:rPr>
      </w:pPr>
    </w:p>
    <w:p w14:paraId="2E820DF7" w14:textId="77777777" w:rsidR="002905F3" w:rsidRPr="001D746D" w:rsidRDefault="002905F3" w:rsidP="002905F3">
      <w:pPr>
        <w:pStyle w:val="Sinespaciado"/>
        <w:jc w:val="both"/>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Para cumplir con dicha labor, nos reunimos para estudiar y analizar los textos aprobados por las Plenarias de la Cámara de Representantes y Senado, con el fin de llegar</w:t>
      </w:r>
      <w:r>
        <w:rPr>
          <w:rFonts w:ascii="Times New Roman" w:hAnsi="Times New Roman" w:cs="Times New Roman"/>
          <w:sz w:val="24"/>
          <w:szCs w:val="24"/>
          <w:lang w:val="es-ES_tradnl"/>
        </w:rPr>
        <w:t>, por unanimidad</w:t>
      </w:r>
      <w:r w:rsidRPr="001D746D">
        <w:rPr>
          <w:rFonts w:ascii="Times New Roman" w:hAnsi="Times New Roman" w:cs="Times New Roman"/>
          <w:sz w:val="24"/>
          <w:szCs w:val="24"/>
          <w:lang w:val="es-ES_tradnl"/>
        </w:rPr>
        <w:t xml:space="preserve"> a un t</w:t>
      </w:r>
      <w:r>
        <w:rPr>
          <w:rFonts w:ascii="Times New Roman" w:hAnsi="Times New Roman" w:cs="Times New Roman"/>
          <w:sz w:val="24"/>
          <w:szCs w:val="24"/>
          <w:lang w:val="es-ES_tradnl"/>
        </w:rPr>
        <w:t xml:space="preserve">exto conciliado. </w:t>
      </w:r>
    </w:p>
    <w:p w14:paraId="4E5E7C0B" w14:textId="77777777" w:rsidR="002905F3" w:rsidRDefault="002905F3" w:rsidP="002905F3">
      <w:pPr>
        <w:pStyle w:val="Sinespaciado"/>
        <w:jc w:val="both"/>
        <w:rPr>
          <w:rFonts w:ascii="Times New Roman" w:hAnsi="Times New Roman" w:cs="Times New Roman"/>
          <w:sz w:val="24"/>
          <w:szCs w:val="24"/>
          <w:lang w:val="es-ES_tradnl"/>
        </w:rPr>
      </w:pPr>
    </w:p>
    <w:p w14:paraId="19C99E7F" w14:textId="77777777" w:rsidR="002905F3" w:rsidRDefault="002905F3" w:rsidP="002905F3">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Frente a cada uno de los artículos del Proyecto de Ley Estatutaria, se realizaron las siguientes consideraciones: </w:t>
      </w:r>
    </w:p>
    <w:p w14:paraId="66D22236" w14:textId="77777777" w:rsidR="002905F3" w:rsidRDefault="002905F3" w:rsidP="002905F3">
      <w:pPr>
        <w:pStyle w:val="Sinespaciado"/>
        <w:jc w:val="both"/>
        <w:rPr>
          <w:rFonts w:ascii="Times New Roman" w:hAnsi="Times New Roman" w:cs="Times New Roman"/>
          <w:sz w:val="24"/>
          <w:szCs w:val="24"/>
          <w:lang w:val="es-ES_tradnl"/>
        </w:rPr>
      </w:pPr>
    </w:p>
    <w:tbl>
      <w:tblPr>
        <w:tblStyle w:val="Tablaconcuadrcula"/>
        <w:tblW w:w="0" w:type="auto"/>
        <w:tblLook w:val="04A0" w:firstRow="1" w:lastRow="0" w:firstColumn="1" w:lastColumn="0" w:noHBand="0" w:noVBand="1"/>
      </w:tblPr>
      <w:tblGrid>
        <w:gridCol w:w="4416"/>
        <w:gridCol w:w="4412"/>
      </w:tblGrid>
      <w:tr w:rsidR="002905F3" w14:paraId="2D540D4A" w14:textId="77777777" w:rsidTr="00475350">
        <w:tc>
          <w:tcPr>
            <w:tcW w:w="4659" w:type="dxa"/>
          </w:tcPr>
          <w:p w14:paraId="267754AD"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w:t>
            </w:r>
            <w:r w:rsidRPr="00DD47D8">
              <w:rPr>
                <w:rFonts w:ascii="Times New Roman" w:hAnsi="Times New Roman" w:cs="Times New Roman"/>
                <w:b/>
                <w:sz w:val="24"/>
                <w:szCs w:val="24"/>
                <w:lang w:val="es-ES_tradnl"/>
              </w:rPr>
              <w:t xml:space="preserve"> 1º</w:t>
            </w:r>
            <w:r>
              <w:rPr>
                <w:rFonts w:ascii="Times New Roman" w:hAnsi="Times New Roman" w:cs="Times New Roman"/>
                <w:sz w:val="24"/>
                <w:szCs w:val="24"/>
                <w:lang w:val="es-ES_tradnl"/>
              </w:rPr>
              <w:t xml:space="preserve"> - Objeto</w:t>
            </w:r>
          </w:p>
        </w:tc>
        <w:tc>
          <w:tcPr>
            <w:tcW w:w="4659" w:type="dxa"/>
          </w:tcPr>
          <w:p w14:paraId="4AF82945"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texto aprobado en ambas cámaras resulta idéntico. </w:t>
            </w:r>
          </w:p>
        </w:tc>
      </w:tr>
      <w:tr w:rsidR="002905F3" w14:paraId="5CDEE1D0" w14:textId="77777777" w:rsidTr="00475350">
        <w:tc>
          <w:tcPr>
            <w:tcW w:w="4659" w:type="dxa"/>
          </w:tcPr>
          <w:p w14:paraId="0C8EA5D4"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w:t>
            </w:r>
            <w:r w:rsidRPr="00DD47D8">
              <w:rPr>
                <w:rFonts w:ascii="Times New Roman" w:hAnsi="Times New Roman" w:cs="Times New Roman"/>
                <w:b/>
                <w:sz w:val="24"/>
                <w:szCs w:val="24"/>
                <w:lang w:val="es-ES_tradnl"/>
              </w:rPr>
              <w:t xml:space="preserve"> 2º</w:t>
            </w:r>
            <w:r>
              <w:rPr>
                <w:rFonts w:ascii="Times New Roman" w:hAnsi="Times New Roman" w:cs="Times New Roman"/>
                <w:sz w:val="24"/>
                <w:szCs w:val="24"/>
                <w:lang w:val="es-ES_tradnl"/>
              </w:rPr>
              <w:t xml:space="preserve"> - Definiciones</w:t>
            </w:r>
          </w:p>
        </w:tc>
        <w:tc>
          <w:tcPr>
            <w:tcW w:w="4659" w:type="dxa"/>
          </w:tcPr>
          <w:p w14:paraId="577C769A" w14:textId="215C1BA3"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acoge el text</w:t>
            </w:r>
            <w:r w:rsidR="00680B40">
              <w:rPr>
                <w:rFonts w:ascii="Times New Roman" w:hAnsi="Times New Roman" w:cs="Times New Roman"/>
                <w:sz w:val="24"/>
                <w:szCs w:val="24"/>
                <w:lang w:val="es-ES_tradnl"/>
              </w:rPr>
              <w:t>o de Senado – En tanto las precisi</w:t>
            </w:r>
            <w:r>
              <w:rPr>
                <w:rFonts w:ascii="Times New Roman" w:hAnsi="Times New Roman" w:cs="Times New Roman"/>
                <w:sz w:val="24"/>
                <w:szCs w:val="24"/>
                <w:lang w:val="es-ES_tradnl"/>
              </w:rPr>
              <w:t xml:space="preserve">ones realizadas en los conceptos ahí establecidos resultan técnicas y cuentan con apoyo de gremios involucrados.  </w:t>
            </w:r>
          </w:p>
        </w:tc>
      </w:tr>
      <w:tr w:rsidR="002905F3" w14:paraId="620B5A36" w14:textId="77777777" w:rsidTr="00475350">
        <w:tc>
          <w:tcPr>
            <w:tcW w:w="4659" w:type="dxa"/>
          </w:tcPr>
          <w:p w14:paraId="6D89C9AB"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lastRenderedPageBreak/>
              <w:t>Artículo 3º</w:t>
            </w:r>
            <w:r>
              <w:rPr>
                <w:rFonts w:ascii="Times New Roman" w:hAnsi="Times New Roman" w:cs="Times New Roman"/>
                <w:sz w:val="24"/>
                <w:szCs w:val="24"/>
                <w:lang w:val="es-ES_tradnl"/>
              </w:rPr>
              <w:t xml:space="preserve"> - Derecho fundamental a la oposición política. </w:t>
            </w:r>
          </w:p>
        </w:tc>
        <w:tc>
          <w:tcPr>
            <w:tcW w:w="4659" w:type="dxa"/>
          </w:tcPr>
          <w:p w14:paraId="5A0A8E8B"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2BB63C7D" w14:textId="77777777" w:rsidTr="00475350">
        <w:tc>
          <w:tcPr>
            <w:tcW w:w="4659" w:type="dxa"/>
          </w:tcPr>
          <w:p w14:paraId="6890C326"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4º</w:t>
            </w:r>
            <w:r>
              <w:rPr>
                <w:rFonts w:ascii="Times New Roman" w:hAnsi="Times New Roman" w:cs="Times New Roman"/>
                <w:sz w:val="24"/>
                <w:szCs w:val="24"/>
                <w:lang w:val="es-ES_tradnl"/>
              </w:rPr>
              <w:t xml:space="preserve"> - Finalidades</w:t>
            </w:r>
          </w:p>
        </w:tc>
        <w:tc>
          <w:tcPr>
            <w:tcW w:w="4659" w:type="dxa"/>
          </w:tcPr>
          <w:p w14:paraId="149B7A79"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52CBC1BF" w14:textId="77777777" w:rsidTr="00475350">
        <w:tc>
          <w:tcPr>
            <w:tcW w:w="4659" w:type="dxa"/>
          </w:tcPr>
          <w:p w14:paraId="093B5AA9"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Artículo </w:t>
            </w:r>
            <w:r w:rsidRPr="00DD47D8">
              <w:rPr>
                <w:rFonts w:ascii="Times New Roman" w:hAnsi="Times New Roman" w:cs="Times New Roman"/>
                <w:b/>
                <w:sz w:val="24"/>
                <w:szCs w:val="24"/>
                <w:lang w:val="es-ES_tradnl"/>
              </w:rPr>
              <w:t>5º</w:t>
            </w:r>
            <w:r>
              <w:rPr>
                <w:rFonts w:ascii="Times New Roman" w:hAnsi="Times New Roman" w:cs="Times New Roman"/>
                <w:sz w:val="24"/>
                <w:szCs w:val="24"/>
                <w:lang w:val="es-ES_tradnl"/>
              </w:rPr>
              <w:t xml:space="preserve"> - Principios rectores</w:t>
            </w:r>
          </w:p>
        </w:tc>
        <w:tc>
          <w:tcPr>
            <w:tcW w:w="4659" w:type="dxa"/>
          </w:tcPr>
          <w:p w14:paraId="4511B14D"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Cámara – Lo anterior con el fin de dar mayor precisión en la redacción de los principios del Estatuto. </w:t>
            </w:r>
          </w:p>
        </w:tc>
      </w:tr>
      <w:tr w:rsidR="002905F3" w14:paraId="7B18FD8F" w14:textId="77777777" w:rsidTr="00475350">
        <w:tc>
          <w:tcPr>
            <w:tcW w:w="4659" w:type="dxa"/>
          </w:tcPr>
          <w:p w14:paraId="6DD49001"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6º</w:t>
            </w:r>
            <w:r>
              <w:rPr>
                <w:rFonts w:ascii="Times New Roman" w:hAnsi="Times New Roman" w:cs="Times New Roman"/>
                <w:sz w:val="24"/>
                <w:szCs w:val="24"/>
                <w:lang w:val="es-ES_tradnl"/>
              </w:rPr>
              <w:t xml:space="preserve"> - Declaración Política</w:t>
            </w:r>
          </w:p>
        </w:tc>
        <w:tc>
          <w:tcPr>
            <w:tcW w:w="4659" w:type="dxa"/>
          </w:tcPr>
          <w:p w14:paraId="0EA56B7B"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Senado – En términos de efectividad de la regulación establecida en el presente artículo, resulta conveniente mantener las expresiones contempladas en el texto de Senado. </w:t>
            </w:r>
          </w:p>
        </w:tc>
      </w:tr>
      <w:tr w:rsidR="002905F3" w14:paraId="0913FF6A" w14:textId="77777777" w:rsidTr="00475350">
        <w:tc>
          <w:tcPr>
            <w:tcW w:w="4659" w:type="dxa"/>
          </w:tcPr>
          <w:p w14:paraId="08C459C7"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7º</w:t>
            </w:r>
            <w:r>
              <w:rPr>
                <w:rFonts w:ascii="Times New Roman" w:hAnsi="Times New Roman" w:cs="Times New Roman"/>
                <w:sz w:val="24"/>
                <w:szCs w:val="24"/>
                <w:lang w:val="es-ES_tradnl"/>
              </w:rPr>
              <w:t xml:space="preserve"> - Niveles territoriales de oposición política. </w:t>
            </w:r>
          </w:p>
        </w:tc>
        <w:tc>
          <w:tcPr>
            <w:tcW w:w="4659" w:type="dxa"/>
          </w:tcPr>
          <w:p w14:paraId="6FB4E076"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1E6CF05B" w14:textId="77777777" w:rsidTr="00475350">
        <w:tc>
          <w:tcPr>
            <w:tcW w:w="4659" w:type="dxa"/>
          </w:tcPr>
          <w:p w14:paraId="5F3A3263"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8º</w:t>
            </w:r>
            <w:r>
              <w:rPr>
                <w:rFonts w:ascii="Times New Roman" w:hAnsi="Times New Roman" w:cs="Times New Roman"/>
                <w:sz w:val="24"/>
                <w:szCs w:val="24"/>
                <w:lang w:val="es-ES_tradnl"/>
              </w:rPr>
              <w:t xml:space="preserve"> - Competencia para efectuar la declaración política.</w:t>
            </w:r>
          </w:p>
        </w:tc>
        <w:tc>
          <w:tcPr>
            <w:tcW w:w="4659" w:type="dxa"/>
          </w:tcPr>
          <w:p w14:paraId="56ABF899"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1C3CC68A" w14:textId="77777777" w:rsidTr="00475350">
        <w:tc>
          <w:tcPr>
            <w:tcW w:w="4659" w:type="dxa"/>
          </w:tcPr>
          <w:p w14:paraId="544DA6AD"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9º</w:t>
            </w:r>
            <w:r>
              <w:rPr>
                <w:rFonts w:ascii="Times New Roman" w:hAnsi="Times New Roman" w:cs="Times New Roman"/>
                <w:sz w:val="24"/>
                <w:szCs w:val="24"/>
                <w:lang w:val="es-ES_tradnl"/>
              </w:rPr>
              <w:t xml:space="preserve"> - Registro y publicidad </w:t>
            </w:r>
          </w:p>
        </w:tc>
        <w:tc>
          <w:tcPr>
            <w:tcW w:w="4659" w:type="dxa"/>
          </w:tcPr>
          <w:p w14:paraId="42002FF6"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Cámara- La regulación señalada en relación con las diferentes entidades para realizar la declaración resulta más conveniente en términos de descentralización  territorial. </w:t>
            </w:r>
          </w:p>
        </w:tc>
      </w:tr>
      <w:tr w:rsidR="002905F3" w14:paraId="656A3CB3" w14:textId="77777777" w:rsidTr="00475350">
        <w:trPr>
          <w:trHeight w:val="716"/>
        </w:trPr>
        <w:tc>
          <w:tcPr>
            <w:tcW w:w="4659" w:type="dxa"/>
          </w:tcPr>
          <w:p w14:paraId="62994B43"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10</w:t>
            </w:r>
            <w:r>
              <w:rPr>
                <w:rFonts w:ascii="Times New Roman" w:hAnsi="Times New Roman" w:cs="Times New Roman"/>
                <w:sz w:val="24"/>
                <w:szCs w:val="24"/>
                <w:lang w:val="es-ES_tradnl"/>
              </w:rPr>
              <w:t xml:space="preserve">  - </w:t>
            </w:r>
            <w:r w:rsidRPr="00577728">
              <w:rPr>
                <w:rFonts w:ascii="Times New Roman" w:hAnsi="Times New Roman" w:cs="Times New Roman"/>
                <w:sz w:val="24"/>
                <w:szCs w:val="24"/>
                <w:lang w:val="es-ES_tradnl"/>
              </w:rPr>
              <w:t>Representación de las organizaciones políticas para el ejercicio y protección de los derechos de oposición e independientes.</w:t>
            </w:r>
          </w:p>
        </w:tc>
        <w:tc>
          <w:tcPr>
            <w:tcW w:w="4659" w:type="dxa"/>
          </w:tcPr>
          <w:p w14:paraId="2DE92CD9" w14:textId="77777777" w:rsidR="002905F3" w:rsidRPr="00577728" w:rsidRDefault="002905F3" w:rsidP="00475350">
            <w:pPr>
              <w:tabs>
                <w:tab w:val="left" w:pos="1600"/>
              </w:tabs>
              <w:rPr>
                <w:lang w:val="es-ES_tradnl"/>
              </w:rPr>
            </w:pPr>
            <w:r>
              <w:rPr>
                <w:rFonts w:ascii="Times New Roman" w:hAnsi="Times New Roman" w:cs="Times New Roman"/>
                <w:sz w:val="24"/>
                <w:szCs w:val="24"/>
                <w:lang w:val="es-ES_tradnl"/>
              </w:rPr>
              <w:t>El texto aprobado en ambas cámaras resulta idéntico.</w:t>
            </w:r>
          </w:p>
        </w:tc>
      </w:tr>
      <w:tr w:rsidR="002905F3" w14:paraId="0C9E0FDB" w14:textId="77777777" w:rsidTr="00475350">
        <w:tc>
          <w:tcPr>
            <w:tcW w:w="4659" w:type="dxa"/>
          </w:tcPr>
          <w:p w14:paraId="37A77DE3"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11</w:t>
            </w:r>
            <w:r>
              <w:rPr>
                <w:rFonts w:ascii="Times New Roman" w:hAnsi="Times New Roman" w:cs="Times New Roman"/>
                <w:sz w:val="24"/>
                <w:szCs w:val="24"/>
                <w:lang w:val="es-ES_tradnl"/>
              </w:rPr>
              <w:t xml:space="preserve"> – Derechos </w:t>
            </w:r>
          </w:p>
        </w:tc>
        <w:tc>
          <w:tcPr>
            <w:tcW w:w="4659" w:type="dxa"/>
          </w:tcPr>
          <w:p w14:paraId="2F9545A8"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w:t>
            </w:r>
            <w:r w:rsidRPr="00FA3334">
              <w:rPr>
                <w:rFonts w:ascii="Times New Roman" w:hAnsi="Times New Roman" w:cs="Times New Roman"/>
                <w:sz w:val="24"/>
                <w:szCs w:val="24"/>
                <w:lang w:val="es-ES_tradnl"/>
              </w:rPr>
              <w:t>de Senado</w:t>
            </w:r>
            <w:r>
              <w:rPr>
                <w:rFonts w:ascii="Times New Roman" w:hAnsi="Times New Roman" w:cs="Times New Roman"/>
                <w:sz w:val="24"/>
                <w:szCs w:val="24"/>
                <w:lang w:val="es-ES_tradnl"/>
              </w:rPr>
              <w:t xml:space="preserve"> - </w:t>
            </w:r>
          </w:p>
        </w:tc>
      </w:tr>
      <w:tr w:rsidR="002905F3" w14:paraId="57D16542" w14:textId="77777777" w:rsidTr="00475350">
        <w:tc>
          <w:tcPr>
            <w:tcW w:w="4659" w:type="dxa"/>
          </w:tcPr>
          <w:p w14:paraId="26D30586"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Artículo </w:t>
            </w:r>
            <w:r w:rsidRPr="00DD47D8">
              <w:rPr>
                <w:rFonts w:ascii="Times New Roman" w:hAnsi="Times New Roman" w:cs="Times New Roman"/>
                <w:b/>
                <w:sz w:val="24"/>
                <w:szCs w:val="24"/>
                <w:lang w:val="es-ES_tradnl"/>
              </w:rPr>
              <w:t>12</w:t>
            </w:r>
            <w:r>
              <w:rPr>
                <w:rFonts w:ascii="Times New Roman" w:hAnsi="Times New Roman" w:cs="Times New Roman"/>
                <w:sz w:val="24"/>
                <w:szCs w:val="24"/>
                <w:lang w:val="es-ES_tradnl"/>
              </w:rPr>
              <w:t xml:space="preserve">  - Financiación adicional para el ejercicio de la oposición. </w:t>
            </w:r>
          </w:p>
        </w:tc>
        <w:tc>
          <w:tcPr>
            <w:tcW w:w="4659" w:type="dxa"/>
          </w:tcPr>
          <w:p w14:paraId="0887ABAB"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Cámara – La inclusión de un parágrafo adicional en relación con la eventual devolución de dineros al modificar la declaratoria de oposición, resulta conveniente en tanto permite mayores garantías y estabilidad política. </w:t>
            </w:r>
          </w:p>
        </w:tc>
      </w:tr>
      <w:tr w:rsidR="002905F3" w14:paraId="03D73C80" w14:textId="77777777" w:rsidTr="00475350">
        <w:tc>
          <w:tcPr>
            <w:tcW w:w="4659" w:type="dxa"/>
          </w:tcPr>
          <w:p w14:paraId="17268047"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w:t>
            </w:r>
            <w:r w:rsidRPr="00DD47D8">
              <w:rPr>
                <w:rFonts w:ascii="Times New Roman" w:hAnsi="Times New Roman" w:cs="Times New Roman"/>
                <w:b/>
                <w:sz w:val="24"/>
                <w:szCs w:val="24"/>
                <w:lang w:val="es-ES_tradnl"/>
              </w:rPr>
              <w:t xml:space="preserve"> 13</w:t>
            </w:r>
            <w:r>
              <w:rPr>
                <w:rFonts w:ascii="Times New Roman" w:hAnsi="Times New Roman" w:cs="Times New Roman"/>
                <w:sz w:val="24"/>
                <w:szCs w:val="24"/>
                <w:lang w:val="es-ES_tradnl"/>
              </w:rPr>
              <w:t xml:space="preserve"> – Acceso a los medios de comunicación social del Estado y los que hacen uso del espectro electromagnético.</w:t>
            </w:r>
          </w:p>
        </w:tc>
        <w:tc>
          <w:tcPr>
            <w:tcW w:w="4659" w:type="dxa"/>
          </w:tcPr>
          <w:p w14:paraId="3B13DB77"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Senado – Lo anterior debido a que éste ha contado con apoyo por parte de los gremios de comunicación e instituciones estatales con competencia en la materia. </w:t>
            </w:r>
          </w:p>
        </w:tc>
      </w:tr>
      <w:tr w:rsidR="002905F3" w14:paraId="4D72EDB1" w14:textId="77777777" w:rsidTr="00475350">
        <w:tc>
          <w:tcPr>
            <w:tcW w:w="4659" w:type="dxa"/>
          </w:tcPr>
          <w:p w14:paraId="7338ACED"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14</w:t>
            </w:r>
            <w:r>
              <w:rPr>
                <w:rFonts w:ascii="Times New Roman" w:hAnsi="Times New Roman" w:cs="Times New Roman"/>
                <w:sz w:val="24"/>
                <w:szCs w:val="24"/>
                <w:lang w:val="es-ES_tradnl"/>
              </w:rPr>
              <w:t xml:space="preserve"> – Acceso a medios de comunicación en instalación del Congreso. </w:t>
            </w:r>
          </w:p>
        </w:tc>
        <w:tc>
          <w:tcPr>
            <w:tcW w:w="4659" w:type="dxa"/>
          </w:tcPr>
          <w:p w14:paraId="604EE34D"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6CECF4C2" w14:textId="77777777" w:rsidTr="00475350">
        <w:tc>
          <w:tcPr>
            <w:tcW w:w="4659" w:type="dxa"/>
          </w:tcPr>
          <w:p w14:paraId="4D158EA5"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15</w:t>
            </w:r>
            <w:r>
              <w:rPr>
                <w:rFonts w:ascii="Times New Roman" w:hAnsi="Times New Roman" w:cs="Times New Roman"/>
                <w:sz w:val="24"/>
                <w:szCs w:val="24"/>
                <w:lang w:val="es-ES_tradnl"/>
              </w:rPr>
              <w:t xml:space="preserve"> – Acceso a medios de comunicación en alocuciones presidenciales. </w:t>
            </w:r>
          </w:p>
        </w:tc>
        <w:tc>
          <w:tcPr>
            <w:tcW w:w="4659" w:type="dxa"/>
          </w:tcPr>
          <w:p w14:paraId="4F0E26A2"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24536D5B" w14:textId="77777777" w:rsidTr="00475350">
        <w:tc>
          <w:tcPr>
            <w:tcW w:w="4659" w:type="dxa"/>
          </w:tcPr>
          <w:p w14:paraId="5976A37F"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Artículo 16</w:t>
            </w:r>
            <w:r>
              <w:rPr>
                <w:rFonts w:ascii="Times New Roman" w:hAnsi="Times New Roman" w:cs="Times New Roman"/>
                <w:sz w:val="24"/>
                <w:szCs w:val="24"/>
                <w:lang w:val="es-ES_tradnl"/>
              </w:rPr>
              <w:t xml:space="preserve"> – Acceso a la información y la documentación oficial.  </w:t>
            </w:r>
          </w:p>
        </w:tc>
        <w:tc>
          <w:tcPr>
            <w:tcW w:w="4659" w:type="dxa"/>
          </w:tcPr>
          <w:p w14:paraId="376B2411"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Cámara - </w:t>
            </w:r>
          </w:p>
        </w:tc>
      </w:tr>
      <w:tr w:rsidR="002905F3" w14:paraId="570CCB69" w14:textId="77777777" w:rsidTr="00475350">
        <w:tc>
          <w:tcPr>
            <w:tcW w:w="4659" w:type="dxa"/>
          </w:tcPr>
          <w:p w14:paraId="2F96F2FB"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w:t>
            </w:r>
            <w:r w:rsidRPr="00DD47D8">
              <w:rPr>
                <w:rFonts w:ascii="Times New Roman" w:hAnsi="Times New Roman" w:cs="Times New Roman"/>
                <w:b/>
                <w:sz w:val="24"/>
                <w:szCs w:val="24"/>
                <w:lang w:val="es-ES_tradnl"/>
              </w:rPr>
              <w:t xml:space="preserve"> 17</w:t>
            </w:r>
            <w:r>
              <w:rPr>
                <w:rFonts w:ascii="Times New Roman" w:hAnsi="Times New Roman" w:cs="Times New Roman"/>
                <w:sz w:val="24"/>
                <w:szCs w:val="24"/>
                <w:lang w:val="es-ES_tradnl"/>
              </w:rPr>
              <w:t xml:space="preserve"> – Derecho de Réplica </w:t>
            </w:r>
          </w:p>
        </w:tc>
        <w:tc>
          <w:tcPr>
            <w:tcW w:w="4659" w:type="dxa"/>
          </w:tcPr>
          <w:p w14:paraId="4CF4667E"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5E7E5888" w14:textId="77777777" w:rsidTr="00475350">
        <w:tc>
          <w:tcPr>
            <w:tcW w:w="4659" w:type="dxa"/>
          </w:tcPr>
          <w:p w14:paraId="20E45A9B"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 xml:space="preserve">Artículo </w:t>
            </w:r>
            <w:r w:rsidRPr="00DD47D8">
              <w:rPr>
                <w:rFonts w:ascii="Times New Roman" w:hAnsi="Times New Roman" w:cs="Times New Roman"/>
                <w:b/>
                <w:sz w:val="24"/>
                <w:szCs w:val="24"/>
                <w:lang w:val="es-ES_tradnl"/>
              </w:rPr>
              <w:t xml:space="preserve">18 </w:t>
            </w:r>
            <w:r>
              <w:rPr>
                <w:rFonts w:ascii="Times New Roman" w:hAnsi="Times New Roman" w:cs="Times New Roman"/>
                <w:b/>
                <w:sz w:val="24"/>
                <w:szCs w:val="24"/>
                <w:lang w:val="es-ES_tradnl"/>
              </w:rPr>
              <w:t xml:space="preserve">- </w:t>
            </w:r>
            <w:r w:rsidRPr="00E36C36">
              <w:rPr>
                <w:rFonts w:ascii="Times New Roman" w:hAnsi="Times New Roman" w:cs="Times New Roman"/>
                <w:sz w:val="24"/>
                <w:szCs w:val="24"/>
                <w:lang w:val="es-ES_tradnl"/>
              </w:rPr>
              <w:t>Participación en mesas directivas de plenarias de corporaciones públicas de elección popular.</w:t>
            </w:r>
          </w:p>
        </w:tc>
        <w:tc>
          <w:tcPr>
            <w:tcW w:w="4659" w:type="dxa"/>
          </w:tcPr>
          <w:p w14:paraId="7374AF84"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Cámara – Teniendo en cuenta la composición de algunas corporaciones públicas en municipios pequeños resulta conveniente la redacción aprobada en la Plenaria de la Cámara. </w:t>
            </w:r>
          </w:p>
        </w:tc>
      </w:tr>
      <w:tr w:rsidR="002905F3" w14:paraId="74654C48" w14:textId="77777777" w:rsidTr="00475350">
        <w:tc>
          <w:tcPr>
            <w:tcW w:w="4659" w:type="dxa"/>
          </w:tcPr>
          <w:p w14:paraId="301743BB"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19 </w:t>
            </w:r>
            <w:r>
              <w:rPr>
                <w:rFonts w:ascii="Times New Roman" w:hAnsi="Times New Roman" w:cs="Times New Roman"/>
                <w:b/>
                <w:sz w:val="24"/>
                <w:szCs w:val="24"/>
                <w:lang w:val="es-ES_tradnl"/>
              </w:rPr>
              <w:t xml:space="preserve"> - </w:t>
            </w:r>
            <w:r w:rsidRPr="00273375">
              <w:rPr>
                <w:rFonts w:ascii="Times New Roman" w:hAnsi="Times New Roman" w:cs="Times New Roman"/>
                <w:sz w:val="24"/>
                <w:szCs w:val="24"/>
                <w:lang w:val="es-ES_tradnl"/>
              </w:rPr>
              <w:t>Participación en la Agenda de las Corporaciones Públicas.</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 xml:space="preserve"> </w:t>
            </w:r>
          </w:p>
        </w:tc>
        <w:tc>
          <w:tcPr>
            <w:tcW w:w="4659" w:type="dxa"/>
          </w:tcPr>
          <w:p w14:paraId="078E2D1C"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Senado - </w:t>
            </w:r>
          </w:p>
        </w:tc>
      </w:tr>
      <w:tr w:rsidR="002905F3" w14:paraId="514D3B40" w14:textId="77777777" w:rsidTr="00475350">
        <w:tc>
          <w:tcPr>
            <w:tcW w:w="4659" w:type="dxa"/>
          </w:tcPr>
          <w:p w14:paraId="6D2C6070" w14:textId="77777777" w:rsidR="002905F3" w:rsidRPr="00C70735"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w:t>
            </w:r>
            <w:r>
              <w:rPr>
                <w:rFonts w:ascii="Times New Roman" w:hAnsi="Times New Roman" w:cs="Times New Roman"/>
                <w:b/>
                <w:sz w:val="24"/>
                <w:szCs w:val="24"/>
                <w:lang w:val="es-ES_tradnl"/>
              </w:rPr>
              <w:t xml:space="preserve">20 – </w:t>
            </w:r>
            <w:r>
              <w:rPr>
                <w:rFonts w:ascii="Times New Roman" w:hAnsi="Times New Roman" w:cs="Times New Roman"/>
                <w:sz w:val="24"/>
                <w:szCs w:val="24"/>
                <w:lang w:val="es-ES_tradnl"/>
              </w:rPr>
              <w:t xml:space="preserve">Participación en la Comisión de Relaciones Exteriores. </w:t>
            </w:r>
          </w:p>
        </w:tc>
        <w:tc>
          <w:tcPr>
            <w:tcW w:w="4659" w:type="dxa"/>
          </w:tcPr>
          <w:p w14:paraId="5A7C934F"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Cámara – Resulta absolutamente relevante mantener la regulación en relación con la paridad de género contempladas en el texto aprobado en Cámara.   </w:t>
            </w:r>
          </w:p>
          <w:p w14:paraId="782C29D1" w14:textId="77777777" w:rsidR="002905F3" w:rsidRDefault="002905F3" w:rsidP="00475350">
            <w:pPr>
              <w:pStyle w:val="Sinespaciado"/>
              <w:jc w:val="both"/>
              <w:rPr>
                <w:rFonts w:ascii="Times New Roman" w:hAnsi="Times New Roman" w:cs="Times New Roman"/>
                <w:sz w:val="24"/>
                <w:szCs w:val="24"/>
                <w:lang w:val="es-ES_tradnl"/>
              </w:rPr>
            </w:pPr>
          </w:p>
        </w:tc>
      </w:tr>
      <w:tr w:rsidR="002905F3" w14:paraId="4DE6262D" w14:textId="77777777" w:rsidTr="00475350">
        <w:tc>
          <w:tcPr>
            <w:tcW w:w="4659" w:type="dxa"/>
          </w:tcPr>
          <w:p w14:paraId="1AE6D7B3" w14:textId="77777777" w:rsidR="002905F3" w:rsidRPr="004018DE"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w:t>
            </w:r>
            <w:r>
              <w:rPr>
                <w:rFonts w:ascii="Times New Roman" w:hAnsi="Times New Roman" w:cs="Times New Roman"/>
                <w:b/>
                <w:sz w:val="24"/>
                <w:szCs w:val="24"/>
                <w:lang w:val="es-ES_tradnl"/>
              </w:rPr>
              <w:t xml:space="preserve">21 – </w:t>
            </w:r>
            <w:r>
              <w:rPr>
                <w:rFonts w:ascii="Times New Roman" w:hAnsi="Times New Roman" w:cs="Times New Roman"/>
                <w:sz w:val="24"/>
                <w:szCs w:val="24"/>
                <w:lang w:val="es-ES_tradnl"/>
              </w:rPr>
              <w:t xml:space="preserve">Derecho a participar en las herramientas de comunicación de las corporaciones públicas de elección popular. </w:t>
            </w:r>
          </w:p>
        </w:tc>
        <w:tc>
          <w:tcPr>
            <w:tcW w:w="4659" w:type="dxa"/>
          </w:tcPr>
          <w:p w14:paraId="24EDB284"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4B8F08C7" w14:textId="77777777" w:rsidTr="00475350">
        <w:tc>
          <w:tcPr>
            <w:tcW w:w="4659" w:type="dxa"/>
          </w:tcPr>
          <w:p w14:paraId="11537D58" w14:textId="77777777" w:rsidR="002905F3" w:rsidRPr="004018DE"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w:t>
            </w:r>
            <w:r>
              <w:rPr>
                <w:rFonts w:ascii="Times New Roman" w:hAnsi="Times New Roman" w:cs="Times New Roman"/>
                <w:b/>
                <w:sz w:val="24"/>
                <w:szCs w:val="24"/>
                <w:lang w:val="es-ES_tradnl"/>
              </w:rPr>
              <w:t xml:space="preserve">22 – </w:t>
            </w:r>
            <w:r>
              <w:rPr>
                <w:rFonts w:ascii="Times New Roman" w:hAnsi="Times New Roman" w:cs="Times New Roman"/>
                <w:sz w:val="24"/>
                <w:szCs w:val="24"/>
                <w:lang w:val="es-ES_tradnl"/>
              </w:rPr>
              <w:t xml:space="preserve">Transparencia y rendición de cuentas en el Plan de Desarrollo y Planes Plurianuales de Inversión. </w:t>
            </w:r>
          </w:p>
        </w:tc>
        <w:tc>
          <w:tcPr>
            <w:tcW w:w="4659" w:type="dxa"/>
          </w:tcPr>
          <w:p w14:paraId="4AFC4926"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2EAB9189" w14:textId="77777777" w:rsidTr="00475350">
        <w:tc>
          <w:tcPr>
            <w:tcW w:w="4659" w:type="dxa"/>
          </w:tcPr>
          <w:p w14:paraId="49508931" w14:textId="77777777" w:rsidR="002905F3" w:rsidRPr="004018DE"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w:t>
            </w:r>
            <w:r>
              <w:rPr>
                <w:rFonts w:ascii="Times New Roman" w:hAnsi="Times New Roman" w:cs="Times New Roman"/>
                <w:b/>
                <w:sz w:val="24"/>
                <w:szCs w:val="24"/>
                <w:lang w:val="es-ES_tradnl"/>
              </w:rPr>
              <w:t xml:space="preserve">23 – </w:t>
            </w:r>
            <w:r>
              <w:rPr>
                <w:rFonts w:ascii="Times New Roman" w:hAnsi="Times New Roman" w:cs="Times New Roman"/>
                <w:sz w:val="24"/>
                <w:szCs w:val="24"/>
                <w:lang w:val="es-ES_tradnl"/>
              </w:rPr>
              <w:t xml:space="preserve">Derechos de oposición en las Juntas Administradoras Locales. </w:t>
            </w:r>
          </w:p>
        </w:tc>
        <w:tc>
          <w:tcPr>
            <w:tcW w:w="4659" w:type="dxa"/>
          </w:tcPr>
          <w:p w14:paraId="31AC00E8"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7087E823" w14:textId="77777777" w:rsidTr="00475350">
        <w:tc>
          <w:tcPr>
            <w:tcW w:w="4659" w:type="dxa"/>
          </w:tcPr>
          <w:p w14:paraId="06FAF2AA" w14:textId="77777777" w:rsidR="002905F3" w:rsidRPr="004018DE"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24 </w:t>
            </w:r>
            <w:r>
              <w:rPr>
                <w:rFonts w:ascii="Times New Roman" w:hAnsi="Times New Roman" w:cs="Times New Roman"/>
                <w:b/>
                <w:sz w:val="24"/>
                <w:szCs w:val="24"/>
                <w:lang w:val="es-ES_tradnl"/>
              </w:rPr>
              <w:t xml:space="preserve"> - </w:t>
            </w:r>
            <w:r>
              <w:rPr>
                <w:rFonts w:ascii="Times New Roman" w:hAnsi="Times New Roman" w:cs="Times New Roman"/>
                <w:sz w:val="24"/>
                <w:szCs w:val="24"/>
                <w:lang w:val="es-ES_tradnl"/>
              </w:rPr>
              <w:t xml:space="preserve">Curules en Senado y Cámara de Representantes. </w:t>
            </w:r>
          </w:p>
        </w:tc>
        <w:tc>
          <w:tcPr>
            <w:tcW w:w="4659" w:type="dxa"/>
          </w:tcPr>
          <w:p w14:paraId="643C1895"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Cámara – Resulta conveniente mantener las precisiones establecidas en este artículo en relación con la participación en las comisiones primeras. </w:t>
            </w:r>
          </w:p>
        </w:tc>
      </w:tr>
      <w:tr w:rsidR="002905F3" w14:paraId="3F8E6F32" w14:textId="77777777" w:rsidTr="00475350">
        <w:tc>
          <w:tcPr>
            <w:tcW w:w="4659" w:type="dxa"/>
          </w:tcPr>
          <w:p w14:paraId="28E18904" w14:textId="77777777" w:rsidR="002905F3" w:rsidRPr="00DD47D8" w:rsidRDefault="002905F3" w:rsidP="00475350">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Artículo 25 - </w:t>
            </w:r>
            <w:r w:rsidRPr="00B03641">
              <w:rPr>
                <w:rFonts w:ascii="Times New Roman" w:hAnsi="Times New Roman" w:cs="Times New Roman"/>
                <w:bCs/>
                <w:color w:val="000000"/>
                <w:sz w:val="24"/>
                <w:szCs w:val="24"/>
                <w:lang w:val="es-ES_tradnl"/>
              </w:rPr>
              <w:t>Curules en las corporaciones públicas de elección popular de las entidades territoriales.</w:t>
            </w:r>
          </w:p>
        </w:tc>
        <w:tc>
          <w:tcPr>
            <w:tcW w:w="4659" w:type="dxa"/>
          </w:tcPr>
          <w:p w14:paraId="6F52337F"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02516D19" w14:textId="77777777" w:rsidTr="00475350">
        <w:tc>
          <w:tcPr>
            <w:tcW w:w="4659" w:type="dxa"/>
          </w:tcPr>
          <w:p w14:paraId="564CA5E8" w14:textId="77777777" w:rsidR="002905F3" w:rsidRPr="0019757A"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w:t>
            </w:r>
            <w:r>
              <w:rPr>
                <w:rFonts w:ascii="Times New Roman" w:hAnsi="Times New Roman" w:cs="Times New Roman"/>
                <w:b/>
                <w:sz w:val="24"/>
                <w:szCs w:val="24"/>
                <w:lang w:val="es-ES_tradnl"/>
              </w:rPr>
              <w:t>26</w:t>
            </w:r>
            <w:r w:rsidRPr="00DD47D8">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 xml:space="preserve"> - </w:t>
            </w:r>
            <w:r>
              <w:rPr>
                <w:rFonts w:ascii="Times New Roman" w:hAnsi="Times New Roman" w:cs="Times New Roman"/>
                <w:sz w:val="24"/>
                <w:szCs w:val="24"/>
                <w:lang w:val="es-ES_tradnl"/>
              </w:rPr>
              <w:t xml:space="preserve">Organizaciones Políticas Independientes </w:t>
            </w:r>
          </w:p>
        </w:tc>
        <w:tc>
          <w:tcPr>
            <w:tcW w:w="4659" w:type="dxa"/>
          </w:tcPr>
          <w:p w14:paraId="55859FD4"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506F5249" w14:textId="77777777" w:rsidTr="00475350">
        <w:tc>
          <w:tcPr>
            <w:tcW w:w="4659" w:type="dxa"/>
          </w:tcPr>
          <w:p w14:paraId="08D30CD6"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w:t>
            </w:r>
            <w:r w:rsidRPr="0019757A">
              <w:rPr>
                <w:rFonts w:ascii="Times New Roman" w:hAnsi="Times New Roman" w:cs="Times New Roman"/>
                <w:b/>
                <w:sz w:val="24"/>
                <w:szCs w:val="24"/>
                <w:lang w:val="es-ES_tradnl"/>
              </w:rPr>
              <w:t>27</w:t>
            </w:r>
            <w:r>
              <w:rPr>
                <w:rFonts w:ascii="Times New Roman" w:hAnsi="Times New Roman" w:cs="Times New Roman"/>
                <w:b/>
                <w:sz w:val="24"/>
                <w:szCs w:val="24"/>
                <w:lang w:val="es-ES_tradnl"/>
              </w:rPr>
              <w:t xml:space="preserve"> – </w:t>
            </w:r>
            <w:r w:rsidRPr="0019757A">
              <w:rPr>
                <w:rFonts w:ascii="Times New Roman" w:hAnsi="Times New Roman" w:cs="Times New Roman"/>
                <w:sz w:val="24"/>
                <w:szCs w:val="24"/>
                <w:lang w:val="es-ES_tradnl"/>
              </w:rPr>
              <w:t>Protección a la declaración de independencia</w:t>
            </w:r>
          </w:p>
        </w:tc>
        <w:tc>
          <w:tcPr>
            <w:tcW w:w="4659" w:type="dxa"/>
          </w:tcPr>
          <w:p w14:paraId="23A01C6D" w14:textId="4F0FCD5E" w:rsidR="002905F3" w:rsidRDefault="002905F3" w:rsidP="00592AD1">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 acuerdo al texto publicada en ambas cámaras </w:t>
            </w:r>
            <w:r w:rsidR="00592AD1">
              <w:rPr>
                <w:rFonts w:ascii="Times New Roman" w:hAnsi="Times New Roman" w:cs="Times New Roman"/>
                <w:sz w:val="24"/>
                <w:szCs w:val="24"/>
                <w:lang w:val="es-ES_tradnl"/>
              </w:rPr>
              <w:t>se acoge el texto aprobado por senado</w:t>
            </w:r>
            <w:r>
              <w:rPr>
                <w:rFonts w:ascii="Times New Roman" w:hAnsi="Times New Roman" w:cs="Times New Roman"/>
                <w:sz w:val="24"/>
                <w:szCs w:val="24"/>
                <w:lang w:val="es-ES_tradnl"/>
              </w:rPr>
              <w:t xml:space="preserve">. </w:t>
            </w:r>
          </w:p>
        </w:tc>
      </w:tr>
      <w:tr w:rsidR="002905F3" w14:paraId="301BFF33" w14:textId="77777777" w:rsidTr="00475350">
        <w:tc>
          <w:tcPr>
            <w:tcW w:w="4659" w:type="dxa"/>
          </w:tcPr>
          <w:p w14:paraId="59B49D29" w14:textId="77777777" w:rsidR="002905F3" w:rsidRDefault="002905F3" w:rsidP="00475350">
            <w:pPr>
              <w:pStyle w:val="Sinespaciado"/>
              <w:jc w:val="both"/>
              <w:rPr>
                <w:rFonts w:ascii="Times New Roman" w:hAnsi="Times New Roman" w:cs="Times New Roman"/>
                <w:sz w:val="24"/>
                <w:szCs w:val="24"/>
                <w:lang w:val="es-ES_tradnl"/>
              </w:rPr>
            </w:pPr>
            <w:r w:rsidRPr="00DD47D8">
              <w:rPr>
                <w:rFonts w:ascii="Times New Roman" w:hAnsi="Times New Roman" w:cs="Times New Roman"/>
                <w:b/>
                <w:sz w:val="24"/>
                <w:szCs w:val="24"/>
                <w:lang w:val="es-ES_tradnl"/>
              </w:rPr>
              <w:t xml:space="preserve">Artículo </w:t>
            </w:r>
            <w:r>
              <w:rPr>
                <w:rFonts w:ascii="Times New Roman" w:hAnsi="Times New Roman" w:cs="Times New Roman"/>
                <w:b/>
                <w:sz w:val="24"/>
                <w:szCs w:val="24"/>
                <w:lang w:val="es-ES_tradnl"/>
              </w:rPr>
              <w:t xml:space="preserve">28 – </w:t>
            </w:r>
            <w:r>
              <w:rPr>
                <w:rFonts w:ascii="Times New Roman" w:hAnsi="Times New Roman" w:cs="Times New Roman"/>
                <w:sz w:val="24"/>
                <w:szCs w:val="24"/>
                <w:lang w:val="es-ES_tradnl"/>
              </w:rPr>
              <w:t xml:space="preserve">Acción de Protección de los Derechos de Oposición.  </w:t>
            </w:r>
          </w:p>
        </w:tc>
        <w:tc>
          <w:tcPr>
            <w:tcW w:w="4659" w:type="dxa"/>
          </w:tcPr>
          <w:p w14:paraId="00FE1FF1"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78FE3B8D" w14:textId="77777777" w:rsidTr="00475350">
        <w:tc>
          <w:tcPr>
            <w:tcW w:w="4659" w:type="dxa"/>
          </w:tcPr>
          <w:p w14:paraId="3D1A062B" w14:textId="77777777" w:rsidR="002905F3" w:rsidRPr="0019757A"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Artículo 29 – </w:t>
            </w:r>
            <w:r>
              <w:rPr>
                <w:rFonts w:ascii="Times New Roman" w:hAnsi="Times New Roman" w:cs="Times New Roman"/>
                <w:sz w:val="24"/>
                <w:szCs w:val="24"/>
                <w:lang w:val="es-ES_tradnl"/>
              </w:rPr>
              <w:t xml:space="preserve">Protección de la declaratoria de oposición. </w:t>
            </w:r>
          </w:p>
        </w:tc>
        <w:tc>
          <w:tcPr>
            <w:tcW w:w="4659" w:type="dxa"/>
          </w:tcPr>
          <w:p w14:paraId="2A6B7F45"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acoge el texto de Cámara - Con el fin de dar coherencia a la generalidad del texto, en especial, en relación con el artículo 27.</w:t>
            </w:r>
          </w:p>
        </w:tc>
      </w:tr>
      <w:tr w:rsidR="002905F3" w14:paraId="3D0B2D1A" w14:textId="77777777" w:rsidTr="00475350">
        <w:tc>
          <w:tcPr>
            <w:tcW w:w="4659" w:type="dxa"/>
          </w:tcPr>
          <w:p w14:paraId="4C3F86FC" w14:textId="77777777" w:rsidR="002905F3" w:rsidRPr="000A5DB9"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Artículo 30 (Senado) – </w:t>
            </w:r>
            <w:r>
              <w:rPr>
                <w:rFonts w:ascii="Times New Roman" w:hAnsi="Times New Roman" w:cs="Times New Roman"/>
                <w:sz w:val="24"/>
                <w:szCs w:val="24"/>
                <w:lang w:val="es-ES_tradnl"/>
              </w:rPr>
              <w:t xml:space="preserve">Procuraduría delegada para la protección de los derechos políticos y de la oposición. </w:t>
            </w:r>
          </w:p>
        </w:tc>
        <w:tc>
          <w:tcPr>
            <w:tcW w:w="4659" w:type="dxa"/>
          </w:tcPr>
          <w:p w14:paraId="3C2A47A4"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acoge el texto de Senado – Se considera de especial relevancia la existencia de una procuraduría delegada con el fin dar mayor efectividad y eficacia a los derechos de las organizaciones declaradas en oposición. </w:t>
            </w:r>
          </w:p>
        </w:tc>
      </w:tr>
      <w:tr w:rsidR="002905F3" w14:paraId="5DA69F38" w14:textId="77777777" w:rsidTr="00475350">
        <w:tc>
          <w:tcPr>
            <w:tcW w:w="4659" w:type="dxa"/>
          </w:tcPr>
          <w:p w14:paraId="70CE2612" w14:textId="77777777" w:rsidR="002905F3" w:rsidRPr="00F2532E"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 31 (Senado) –Artículo 30 (Cámara) –</w:t>
            </w:r>
            <w:r>
              <w:rPr>
                <w:rFonts w:ascii="Times New Roman" w:hAnsi="Times New Roman" w:cs="Times New Roman"/>
                <w:sz w:val="24"/>
                <w:szCs w:val="24"/>
                <w:lang w:val="es-ES_tradnl"/>
              </w:rPr>
              <w:t xml:space="preserve"> Seguridad para los miembros </w:t>
            </w:r>
            <w:r>
              <w:rPr>
                <w:rFonts w:ascii="Times New Roman" w:hAnsi="Times New Roman" w:cs="Times New Roman"/>
                <w:sz w:val="24"/>
                <w:szCs w:val="24"/>
                <w:lang w:val="es-ES_tradnl"/>
              </w:rPr>
              <w:lastRenderedPageBreak/>
              <w:t xml:space="preserve">de las organizaciones políticas que se declaren en oposición. </w:t>
            </w:r>
          </w:p>
        </w:tc>
        <w:tc>
          <w:tcPr>
            <w:tcW w:w="4659" w:type="dxa"/>
          </w:tcPr>
          <w:p w14:paraId="2F976266"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Se acoge el texto de Cámara – Se considera conveniente mantener la obligación por parte del Procurador General y el Defensor </w:t>
            </w:r>
            <w:r>
              <w:rPr>
                <w:rFonts w:ascii="Times New Roman" w:hAnsi="Times New Roman" w:cs="Times New Roman"/>
                <w:sz w:val="24"/>
                <w:szCs w:val="24"/>
                <w:lang w:val="es-ES_tradnl"/>
              </w:rPr>
              <w:lastRenderedPageBreak/>
              <w:t xml:space="preserve">del Pueblo a acudir al Congreso de la República para realizar un informe en relación a la protección de los derechos a la vida e integridad personal de quienes ejerzan la oposición. </w:t>
            </w:r>
          </w:p>
        </w:tc>
      </w:tr>
      <w:tr w:rsidR="002905F3" w14:paraId="40B4C3C7" w14:textId="77777777" w:rsidTr="00475350">
        <w:tc>
          <w:tcPr>
            <w:tcW w:w="4659" w:type="dxa"/>
          </w:tcPr>
          <w:p w14:paraId="5C372213" w14:textId="77777777" w:rsidR="002905F3" w:rsidRPr="00223F35"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 xml:space="preserve">Artículo 32 (Senado) –Artículo 31 (Cámara) – </w:t>
            </w:r>
            <w:r>
              <w:rPr>
                <w:rFonts w:ascii="Times New Roman" w:hAnsi="Times New Roman" w:cs="Times New Roman"/>
                <w:sz w:val="24"/>
                <w:szCs w:val="24"/>
                <w:lang w:val="es-ES_tradnl"/>
              </w:rPr>
              <w:t xml:space="preserve">Pérdida de derechos de la oposición. </w:t>
            </w:r>
          </w:p>
        </w:tc>
        <w:tc>
          <w:tcPr>
            <w:tcW w:w="4659" w:type="dxa"/>
          </w:tcPr>
          <w:p w14:paraId="4A2320F9"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r w:rsidR="002905F3" w14:paraId="05754D99" w14:textId="77777777" w:rsidTr="00475350">
        <w:tc>
          <w:tcPr>
            <w:tcW w:w="4659" w:type="dxa"/>
          </w:tcPr>
          <w:p w14:paraId="71C78288" w14:textId="77777777" w:rsidR="002905F3" w:rsidRDefault="002905F3" w:rsidP="00475350">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Artículo 33 (Senado) –Artículo 32 (Cámara) – </w:t>
            </w:r>
            <w:r w:rsidRPr="00223F35">
              <w:rPr>
                <w:rFonts w:ascii="Times New Roman" w:hAnsi="Times New Roman" w:cs="Times New Roman"/>
                <w:sz w:val="24"/>
                <w:szCs w:val="24"/>
                <w:lang w:val="es-ES_tradnl"/>
              </w:rPr>
              <w:t>Vigencia y derogaciones.</w:t>
            </w:r>
            <w:r>
              <w:rPr>
                <w:rFonts w:ascii="Times New Roman" w:hAnsi="Times New Roman" w:cs="Times New Roman"/>
                <w:b/>
                <w:sz w:val="24"/>
                <w:szCs w:val="24"/>
                <w:lang w:val="es-ES_tradnl"/>
              </w:rPr>
              <w:t xml:space="preserve"> </w:t>
            </w:r>
          </w:p>
        </w:tc>
        <w:tc>
          <w:tcPr>
            <w:tcW w:w="4659" w:type="dxa"/>
          </w:tcPr>
          <w:p w14:paraId="0DE78210" w14:textId="77777777" w:rsidR="002905F3" w:rsidRDefault="002905F3" w:rsidP="0047535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texto aprobado en ambas cámaras resulta idéntico.</w:t>
            </w:r>
          </w:p>
        </w:tc>
      </w:tr>
    </w:tbl>
    <w:p w14:paraId="002E9963" w14:textId="77777777" w:rsidR="002905F3" w:rsidRDefault="002905F3" w:rsidP="002905F3">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14:paraId="16BF244A" w14:textId="77777777" w:rsidR="002905F3" w:rsidRDefault="002905F3" w:rsidP="002905F3">
      <w:pPr>
        <w:pStyle w:val="Sinespaciado"/>
        <w:jc w:val="both"/>
        <w:rPr>
          <w:rFonts w:ascii="Times New Roman" w:hAnsi="Times New Roman" w:cs="Times New Roman"/>
          <w:sz w:val="24"/>
          <w:szCs w:val="24"/>
          <w:lang w:val="es-ES_tradnl"/>
        </w:rPr>
      </w:pPr>
    </w:p>
    <w:p w14:paraId="3DDFDCA3" w14:textId="03527A03" w:rsidR="002905F3" w:rsidRPr="00256B69" w:rsidRDefault="002905F3" w:rsidP="002905F3">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consecuencia, los suscritos conciliadores, solicitamos a las plenarias del Honorable Cong</w:t>
      </w:r>
      <w:r w:rsidR="00502A5D">
        <w:rPr>
          <w:rFonts w:ascii="Times New Roman" w:hAnsi="Times New Roman" w:cs="Times New Roman"/>
          <w:sz w:val="24"/>
          <w:szCs w:val="24"/>
          <w:lang w:val="es-ES_tradnl"/>
        </w:rPr>
        <w:t xml:space="preserve">reso de la República aprobar la conciliación al </w:t>
      </w:r>
      <w:r w:rsidRPr="001D1BDF">
        <w:rPr>
          <w:rFonts w:ascii="Times New Roman" w:hAnsi="Times New Roman" w:cs="Times New Roman"/>
          <w:sz w:val="24"/>
          <w:szCs w:val="24"/>
          <w:lang w:val="es-ES_tradnl"/>
        </w:rPr>
        <w:t>Proyecto de Ley Estatutaria No. 003 de 2017 Senado – 006 de 2017 Cámara</w:t>
      </w:r>
      <w:r>
        <w:rPr>
          <w:rFonts w:ascii="Times New Roman" w:hAnsi="Times New Roman" w:cs="Times New Roman"/>
          <w:sz w:val="24"/>
          <w:szCs w:val="24"/>
          <w:lang w:val="es-ES_tradnl"/>
        </w:rPr>
        <w:t>,</w:t>
      </w:r>
      <w:r w:rsidRPr="001D1BDF">
        <w:rPr>
          <w:rFonts w:ascii="Times New Roman" w:hAnsi="Times New Roman" w:cs="Times New Roman"/>
          <w:sz w:val="24"/>
          <w:szCs w:val="24"/>
          <w:lang w:val="es-ES_tradnl"/>
        </w:rPr>
        <w:t xml:space="preserve">  “Por medio de la cual se adopta el Estatuto de la Oposición Política y algunos derechos a las organizaciones políticas independientes”</w:t>
      </w:r>
      <w:r w:rsidRPr="00C91EB2">
        <w:rPr>
          <w:rFonts w:ascii="Times New Roman" w:hAnsi="Times New Roman" w:cs="Times New Roman"/>
          <w:i/>
          <w:sz w:val="24"/>
          <w:szCs w:val="24"/>
          <w:lang w:val="es-ES_tradnl"/>
        </w:rPr>
        <w:t>,</w:t>
      </w:r>
      <w:r>
        <w:rPr>
          <w:rFonts w:ascii="Times New Roman" w:hAnsi="Times New Roman" w:cs="Times New Roman"/>
          <w:sz w:val="24"/>
          <w:szCs w:val="24"/>
          <w:lang w:val="es-ES_tradnl"/>
        </w:rPr>
        <w:t xml:space="preserve"> de conformidad con el texto propuesto y en los términos que han sido expresados.</w:t>
      </w:r>
    </w:p>
    <w:p w14:paraId="5020326F" w14:textId="77777777" w:rsidR="002905F3" w:rsidRDefault="002905F3" w:rsidP="002905F3">
      <w:pPr>
        <w:rPr>
          <w:rFonts w:ascii="Times New Roman" w:hAnsi="Times New Roman" w:cs="Times New Roman"/>
          <w:sz w:val="24"/>
          <w:szCs w:val="24"/>
          <w:lang w:val="es-ES_tradnl"/>
        </w:rPr>
      </w:pPr>
    </w:p>
    <w:p w14:paraId="7E3BBAD7" w14:textId="77777777" w:rsidR="002905F3" w:rsidRPr="009A7572" w:rsidRDefault="002905F3" w:rsidP="002905F3">
      <w:pPr>
        <w:rPr>
          <w:rFonts w:ascii="Times New Roman" w:hAnsi="Times New Roman" w:cs="Times New Roman"/>
          <w:sz w:val="24"/>
          <w:szCs w:val="24"/>
          <w:lang w:val="es-ES_tradnl"/>
        </w:rPr>
      </w:pPr>
      <w:r w:rsidRPr="00006E3A">
        <w:rPr>
          <w:rFonts w:ascii="Times New Roman" w:hAnsi="Times New Roman" w:cs="Times New Roman"/>
          <w:sz w:val="24"/>
          <w:szCs w:val="24"/>
          <w:lang w:val="es-ES_tradnl"/>
        </w:rPr>
        <w:t xml:space="preserve">De los honorables Congresistas, </w:t>
      </w:r>
    </w:p>
    <w:p w14:paraId="547BC73C" w14:textId="77777777" w:rsidR="002905F3" w:rsidRDefault="002905F3" w:rsidP="002905F3">
      <w:pPr>
        <w:rPr>
          <w:rFonts w:ascii="Times New Roman" w:hAnsi="Times New Roman" w:cs="Times New Roman"/>
        </w:rPr>
      </w:pPr>
    </w:p>
    <w:p w14:paraId="764EE0F9" w14:textId="0919DEF1" w:rsidR="006F1A8E" w:rsidRPr="00006E3A" w:rsidRDefault="006F1A8E" w:rsidP="002905F3">
      <w:pPr>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2128220" w14:textId="77777777" w:rsidR="002905F3" w:rsidRPr="00006E3A" w:rsidRDefault="002905F3" w:rsidP="002905F3">
      <w:pPr>
        <w:pStyle w:val="Sinespaciado"/>
        <w:rPr>
          <w:rFonts w:ascii="Times New Roman" w:hAnsi="Times New Roman" w:cs="Times New Roman"/>
          <w:b/>
          <w:sz w:val="24"/>
          <w:szCs w:val="24"/>
        </w:rPr>
      </w:pPr>
      <w:r>
        <w:rPr>
          <w:rFonts w:ascii="Times New Roman" w:hAnsi="Times New Roman" w:cs="Times New Roman"/>
          <w:b/>
          <w:sz w:val="24"/>
          <w:szCs w:val="24"/>
        </w:rPr>
        <w:t>Roy Barreras Montealegre</w:t>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Pr>
          <w:rFonts w:ascii="Times New Roman" w:hAnsi="Times New Roman" w:cs="Times New Roman"/>
          <w:b/>
          <w:sz w:val="24"/>
          <w:szCs w:val="24"/>
        </w:rPr>
        <w:tab/>
        <w:t>Humphrey Roa Sarmiento</w:t>
      </w:r>
    </w:p>
    <w:p w14:paraId="7B16E29C" w14:textId="77777777" w:rsidR="002905F3" w:rsidRPr="00006E3A" w:rsidRDefault="002905F3" w:rsidP="002905F3">
      <w:pPr>
        <w:pStyle w:val="Sinespaciado"/>
        <w:rPr>
          <w:rFonts w:ascii="Times New Roman" w:hAnsi="Times New Roman" w:cs="Times New Roman"/>
          <w:b/>
          <w:sz w:val="24"/>
          <w:szCs w:val="24"/>
        </w:rPr>
      </w:pPr>
      <w:r w:rsidRPr="00006E3A">
        <w:rPr>
          <w:rFonts w:ascii="Times New Roman" w:hAnsi="Times New Roman" w:cs="Times New Roman"/>
          <w:b/>
          <w:sz w:val="24"/>
          <w:szCs w:val="24"/>
        </w:rPr>
        <w:t>Senador</w:t>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t>Representante</w:t>
      </w:r>
    </w:p>
    <w:p w14:paraId="6AFCD4A7" w14:textId="77777777" w:rsidR="006F1A8E" w:rsidRDefault="006F1A8E" w:rsidP="002905F3">
      <w:pPr>
        <w:spacing w:after="0" w:line="240" w:lineRule="auto"/>
      </w:pPr>
    </w:p>
    <w:p w14:paraId="00770076" w14:textId="77777777" w:rsidR="006F1A8E" w:rsidRDefault="006F1A8E" w:rsidP="002905F3">
      <w:pPr>
        <w:spacing w:after="0" w:line="240" w:lineRule="auto"/>
      </w:pPr>
    </w:p>
    <w:p w14:paraId="705950A8" w14:textId="77777777" w:rsidR="006F1A8E" w:rsidRDefault="006F1A8E" w:rsidP="002905F3">
      <w:pPr>
        <w:spacing w:after="0" w:line="240" w:lineRule="auto"/>
      </w:pPr>
    </w:p>
    <w:p w14:paraId="2D783A2A" w14:textId="77777777" w:rsidR="006F1A8E" w:rsidRDefault="006F1A8E" w:rsidP="002905F3">
      <w:pPr>
        <w:spacing w:after="0" w:line="240" w:lineRule="auto"/>
      </w:pPr>
    </w:p>
    <w:p w14:paraId="785C294F" w14:textId="1DD698C2" w:rsidR="006F1A8E" w:rsidRDefault="006F1A8E" w:rsidP="002905F3">
      <w:pPr>
        <w:spacing w:after="0" w:line="240" w:lineRule="auto"/>
      </w:pPr>
      <w:r>
        <w:t>______________________________</w:t>
      </w:r>
      <w:r>
        <w:tab/>
      </w:r>
      <w:r>
        <w:tab/>
      </w:r>
      <w:r>
        <w:tab/>
      </w:r>
      <w:r>
        <w:tab/>
      </w:r>
      <w:r>
        <w:tab/>
        <w:t>________________________________</w:t>
      </w:r>
    </w:p>
    <w:p w14:paraId="71CCF185" w14:textId="4E0DD3AB" w:rsidR="006F1A8E" w:rsidRPr="006F1A8E" w:rsidRDefault="006F1A8E" w:rsidP="002905F3">
      <w:pPr>
        <w:spacing w:after="0" w:line="240" w:lineRule="auto"/>
        <w:rPr>
          <w:b/>
        </w:rPr>
      </w:pPr>
      <w:r w:rsidRPr="006F1A8E">
        <w:rPr>
          <w:b/>
        </w:rPr>
        <w:t>Guillermo García Realpe</w:t>
      </w:r>
      <w:r w:rsidRPr="006F1A8E">
        <w:rPr>
          <w:b/>
        </w:rPr>
        <w:tab/>
      </w:r>
      <w:r w:rsidRPr="006F1A8E">
        <w:rPr>
          <w:b/>
        </w:rPr>
        <w:tab/>
      </w:r>
      <w:r w:rsidRPr="006F1A8E">
        <w:rPr>
          <w:b/>
        </w:rPr>
        <w:tab/>
      </w:r>
      <w:r w:rsidRPr="006F1A8E">
        <w:rPr>
          <w:b/>
        </w:rPr>
        <w:tab/>
      </w:r>
      <w:r w:rsidRPr="006F1A8E">
        <w:rPr>
          <w:b/>
        </w:rPr>
        <w:tab/>
        <w:t>Silvio Carrasquilla Torres</w:t>
      </w:r>
    </w:p>
    <w:p w14:paraId="38006479" w14:textId="037E1EF1" w:rsidR="002905F3" w:rsidRDefault="006F1A8E" w:rsidP="002905F3">
      <w:pPr>
        <w:spacing w:after="0" w:line="240" w:lineRule="auto"/>
      </w:pPr>
      <w:r w:rsidRPr="006F1A8E">
        <w:rPr>
          <w:b/>
        </w:rPr>
        <w:t>Senador</w:t>
      </w:r>
      <w:r w:rsidRPr="006F1A8E">
        <w:rPr>
          <w:b/>
        </w:rPr>
        <w:tab/>
      </w:r>
      <w:r w:rsidRPr="006F1A8E">
        <w:rPr>
          <w:b/>
        </w:rPr>
        <w:tab/>
      </w:r>
      <w:r w:rsidRPr="006F1A8E">
        <w:rPr>
          <w:b/>
        </w:rPr>
        <w:tab/>
      </w:r>
      <w:r w:rsidRPr="006F1A8E">
        <w:rPr>
          <w:b/>
        </w:rPr>
        <w:tab/>
      </w:r>
      <w:r w:rsidRPr="006F1A8E">
        <w:rPr>
          <w:b/>
        </w:rPr>
        <w:tab/>
      </w:r>
      <w:r w:rsidRPr="006F1A8E">
        <w:rPr>
          <w:b/>
        </w:rPr>
        <w:tab/>
      </w:r>
      <w:r w:rsidRPr="006F1A8E">
        <w:rPr>
          <w:b/>
        </w:rPr>
        <w:tab/>
        <w:t>Representante</w:t>
      </w:r>
      <w:r w:rsidR="002905F3">
        <w:br w:type="page"/>
      </w:r>
    </w:p>
    <w:p w14:paraId="021B3BB8"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 xml:space="preserve">TEXTO CONCILIADO </w:t>
      </w:r>
      <w:r w:rsidRPr="00140071">
        <w:rPr>
          <w:rFonts w:ascii="Times New Roman" w:hAnsi="Times New Roman" w:cs="Times New Roman"/>
          <w:b/>
          <w:sz w:val="24"/>
          <w:szCs w:val="24"/>
          <w:lang w:val="es-ES_tradnl"/>
        </w:rPr>
        <w:t xml:space="preserve"> DEL PROYECTO DE LEY ESTATUTARIA NO. 003 DE 2017 SENADO – 006 DE 2017 CÁMARA  “Por medio de la cual se adopta el Estatuto de la Oposición Política y algunos derechos a las organizaciones políticas independientes” </w:t>
      </w:r>
    </w:p>
    <w:p w14:paraId="69CEB970"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El Congreso de Colombia, en virtud del Procedimiento Legislativo Especial para la Paz,</w:t>
      </w:r>
    </w:p>
    <w:p w14:paraId="3AACF55A"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p>
    <w:p w14:paraId="184D4B40"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DECRETA</w:t>
      </w:r>
    </w:p>
    <w:p w14:paraId="684C89A6"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 xml:space="preserve">CAPÍTULO I </w:t>
      </w:r>
    </w:p>
    <w:p w14:paraId="5B49965F"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Disposiciones generales</w:t>
      </w:r>
    </w:p>
    <w:p w14:paraId="311A9806"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b/>
          <w:sz w:val="24"/>
          <w:szCs w:val="24"/>
          <w:lang w:val="es-ES_tradnl"/>
        </w:rPr>
      </w:pPr>
    </w:p>
    <w:p w14:paraId="6446EC07"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 Objeto.</w:t>
      </w:r>
      <w:r w:rsidRPr="00140071">
        <w:rPr>
          <w:rFonts w:ascii="Times New Roman" w:hAnsi="Times New Roman" w:cs="Times New Roman"/>
          <w:sz w:val="24"/>
          <w:szCs w:val="24"/>
          <w:lang w:val="es-ES_tradnl"/>
        </w:rPr>
        <w:t xml:space="preserve"> La presente ley estatutaria establece el marco general para el ejercicio y la protección especial del derecho a la oposición de las organizaciones políticas y algunos derechos de las organizaciones independientes. </w:t>
      </w:r>
    </w:p>
    <w:p w14:paraId="0FD9BE2F"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2. Definiciones.</w:t>
      </w:r>
      <w:r w:rsidRPr="00140071">
        <w:rPr>
          <w:rFonts w:ascii="Times New Roman" w:hAnsi="Times New Roman" w:cs="Times New Roman"/>
          <w:sz w:val="24"/>
          <w:szCs w:val="24"/>
          <w:lang w:val="es-ES_tradnl"/>
        </w:rPr>
        <w:t xml:space="preserve"> Para efectos de la presente ley, entiéndase por organizaciones políticas a los partidos y movimientos políticos con personería jurídica, así como a los grupos significativos de ciudadanos, las agrupaciones políticas y movimientos sociales con representación en las corporaciones públicas de elección popular. </w:t>
      </w:r>
    </w:p>
    <w:p w14:paraId="2F61CB4B"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Por Gobierno entiéndase, según corresponda, al nacional encabezado por el Presidente de la República, y a las administraciones departamentales, distritales y municipales, encabezadas por el respectivo gobernador, alcalde distrital o municipal. </w:t>
      </w:r>
    </w:p>
    <w:p w14:paraId="55C0DB41"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Por Autoridad Electoral se entiende al Consejo Nacional Electoral o la entidad que haga sus veces. </w:t>
      </w:r>
    </w:p>
    <w:p w14:paraId="62A832BD"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Por réplica se entiende el derecho que le asiste a las organizaciones políticas declaradas en oposición a responder y controvertir declaraciones que sean susceptibles de afectarlas por tergiversaciones graves y evidentes en los términos establecidos en el artículo 17 de la presente ley</w:t>
      </w:r>
    </w:p>
    <w:p w14:paraId="69AF6C9A"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3. Derecho fundamental a la oposición política.</w:t>
      </w:r>
      <w:r w:rsidRPr="00140071">
        <w:rPr>
          <w:rFonts w:ascii="Times New Roman" w:hAnsi="Times New Roman" w:cs="Times New Roman"/>
          <w:sz w:val="24"/>
          <w:szCs w:val="24"/>
          <w:lang w:val="es-ES_tradnl"/>
        </w:rPr>
        <w:t xml:space="preserve"> De conformidad con los artículos 40 y 112 de la Constitución Política, la oposición es un derecho fundamental autónomo que goza de especial protección por el Estado y las autoridades públicas. </w:t>
      </w:r>
    </w:p>
    <w:p w14:paraId="09E63806"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4. Finalidades</w:t>
      </w:r>
      <w:r w:rsidRPr="00140071">
        <w:rPr>
          <w:rFonts w:ascii="Times New Roman" w:hAnsi="Times New Roman" w:cs="Times New Roman"/>
          <w:sz w:val="24"/>
          <w:szCs w:val="24"/>
          <w:lang w:val="es-ES_tradnl"/>
        </w:rPr>
        <w:t xml:space="preserve">. La oposición política permite proponer alternativas políticas, disentir, criticar, fiscalizar y ejercer libremente el control político a la gestión de gobierno, mediante los instrumentos señalados en el presente Estatuto, sin perjuicio de los derechos </w:t>
      </w:r>
      <w:r w:rsidRPr="00140071">
        <w:rPr>
          <w:rFonts w:ascii="Times New Roman" w:hAnsi="Times New Roman" w:cs="Times New Roman"/>
          <w:sz w:val="24"/>
          <w:szCs w:val="24"/>
          <w:lang w:val="es-ES_tradnl"/>
        </w:rPr>
        <w:lastRenderedPageBreak/>
        <w:t xml:space="preserve">consagrados en otras leyes. </w:t>
      </w:r>
    </w:p>
    <w:p w14:paraId="5FFFFD1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5. Principios rectores.</w:t>
      </w:r>
      <w:r w:rsidRPr="00140071">
        <w:rPr>
          <w:rFonts w:ascii="Times New Roman" w:hAnsi="Times New Roman" w:cs="Times New Roman"/>
          <w:sz w:val="24"/>
          <w:szCs w:val="24"/>
          <w:lang w:val="es-ES_tradnl"/>
        </w:rPr>
        <w:t xml:space="preserve"> Las normas que establece el presente Estatuto deben interpretarse a partir, entre otros, de los siguientes principios: </w:t>
      </w:r>
    </w:p>
    <w:p w14:paraId="7A9E57EA"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 Construcción de la Paz Estable y Duradera.</w:t>
      </w:r>
      <w:r w:rsidRPr="00140071">
        <w:rPr>
          <w:rFonts w:ascii="Times New Roman" w:hAnsi="Times New Roman" w:cs="Times New Roman"/>
          <w:sz w:val="24"/>
          <w:szCs w:val="24"/>
          <w:lang w:val="es-ES_tradnl"/>
        </w:rPr>
        <w:t xml:space="preserve"> El Estatuto de Oposición aquí consagrado se soporta en el reconocimiento de la legitimidad de la oposición política como elemento central de la resolución pacífica de las controversias. </w:t>
      </w:r>
    </w:p>
    <w:p w14:paraId="279F9B0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 xml:space="preserve">b. Principio democrático. </w:t>
      </w:r>
      <w:r w:rsidRPr="00140071">
        <w:rPr>
          <w:rFonts w:ascii="Times New Roman" w:hAnsi="Times New Roman" w:cs="Times New Roman"/>
          <w:sz w:val="24"/>
          <w:szCs w:val="24"/>
          <w:lang w:val="es-ES_tradnl"/>
        </w:rPr>
        <w:t xml:space="preserve">El derecho fundamental a la oposición e independencia política es una condición esencial de la democracia participativa y debe realizarse reconociendo los valores de la convivencia, la tolerancia, la deliberación pública, la no estigmatización y el respeto a las diferencias. </w:t>
      </w:r>
    </w:p>
    <w:p w14:paraId="310C230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c. Participación política efectiva</w:t>
      </w:r>
      <w:r w:rsidRPr="00140071">
        <w:rPr>
          <w:rFonts w:ascii="Times New Roman" w:hAnsi="Times New Roman" w:cs="Times New Roman"/>
          <w:sz w:val="24"/>
          <w:szCs w:val="24"/>
          <w:lang w:val="es-ES_tradnl"/>
        </w:rPr>
        <w:t xml:space="preserve">. El Estado garantizará a todas las organizaciones políticas el ejercicio de la oposición, incluyendo la movilización y la protesta social. </w:t>
      </w:r>
    </w:p>
    <w:p w14:paraId="39A9A80D"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d. Ejercicio pacífico de la deliberación política.</w:t>
      </w:r>
      <w:r w:rsidRPr="00140071">
        <w:rPr>
          <w:rFonts w:ascii="Times New Roman" w:hAnsi="Times New Roman" w:cs="Times New Roman"/>
          <w:sz w:val="24"/>
          <w:szCs w:val="24"/>
          <w:lang w:val="es-ES_tradnl"/>
        </w:rPr>
        <w:t xml:space="preserve"> El proceso de reincorporación política de los actores en armas requiere el respeto efectivo del derecho a la oposición política. </w:t>
      </w:r>
    </w:p>
    <w:p w14:paraId="3CA0DE01"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e. Libertad de pensamiento y opiniones.</w:t>
      </w:r>
      <w:r w:rsidRPr="00140071">
        <w:rPr>
          <w:rFonts w:ascii="Times New Roman" w:hAnsi="Times New Roman" w:cs="Times New Roman"/>
          <w:sz w:val="24"/>
          <w:szCs w:val="24"/>
          <w:lang w:val="es-ES_tradnl"/>
        </w:rPr>
        <w:t xml:space="preserve"> Las autoridades, las organizaciones políticas y la ciudadanía respetarán las diferentes opciones ideológicas y opiniones políticas divergentes que surjan del debate democrático.</w:t>
      </w:r>
    </w:p>
    <w:p w14:paraId="027199B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f. Pluralismo político.</w:t>
      </w:r>
      <w:r w:rsidRPr="00140071">
        <w:rPr>
          <w:rFonts w:ascii="Times New Roman" w:hAnsi="Times New Roman" w:cs="Times New Roman"/>
          <w:sz w:val="24"/>
          <w:szCs w:val="24"/>
          <w:lang w:val="es-ES_tradnl"/>
        </w:rPr>
        <w:t xml:space="preserve"> Las autoridades, las organizaciones políticas y la ciudadanía respetarán las diferentes opciones ideológicas y opiniones políticas divergentes que surjan del debate democrático. </w:t>
      </w:r>
    </w:p>
    <w:p w14:paraId="5B21E029"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g. Equidad de género</w:t>
      </w:r>
      <w:r w:rsidRPr="00140071">
        <w:rPr>
          <w:rFonts w:ascii="Times New Roman" w:hAnsi="Times New Roman" w:cs="Times New Roman"/>
          <w:sz w:val="24"/>
          <w:szCs w:val="24"/>
          <w:lang w:val="es-ES_tradnl"/>
        </w:rPr>
        <w:t>. Las organizaciones políticas, incluidas aquellas que se declaren en oposición, compartirán el ejercicio de los derechos que le son propios entre hombres y mujeres, de manera paritaria, alternante y universal.  </w:t>
      </w:r>
    </w:p>
    <w:p w14:paraId="3DA15BF7"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h. Armonización con los convenios y tratados internacionales.</w:t>
      </w:r>
      <w:r w:rsidRPr="00140071">
        <w:rPr>
          <w:rFonts w:ascii="Times New Roman" w:hAnsi="Times New Roman" w:cs="Times New Roman"/>
          <w:sz w:val="24"/>
          <w:szCs w:val="24"/>
          <w:lang w:val="es-ES_tradnl"/>
        </w:rPr>
        <w:t xml:space="preserve"> Los derechos establecidos en este Estatuto se interpretarán de conformidad con los tratados y convenios internacionales de derechos humanos ratificados por Colombia, en especial la convención americana de derecho humanos. Dicha interpretación se hará de la manera más amplia posible en función de garantizar el ejercicio de los derechos políticos.   </w:t>
      </w:r>
    </w:p>
    <w:p w14:paraId="7251DFC1"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i. Control Político:</w:t>
      </w:r>
      <w:r w:rsidRPr="00140071">
        <w:rPr>
          <w:rFonts w:ascii="Times New Roman" w:hAnsi="Times New Roman" w:cs="Times New Roman"/>
          <w:sz w:val="24"/>
          <w:szCs w:val="24"/>
          <w:lang w:val="es-ES_tradnl"/>
        </w:rPr>
        <w:t xml:space="preserve"> El ejercicio del control político permitirá a las organizaciones políticas verificar y controlar las acciones políticas y administrativas del gobierno. </w:t>
      </w:r>
    </w:p>
    <w:p w14:paraId="4A01E4D3"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 xml:space="preserve">j. Diversidad étnica: </w:t>
      </w:r>
      <w:r w:rsidRPr="00140071">
        <w:rPr>
          <w:rFonts w:ascii="Times New Roman" w:hAnsi="Times New Roman" w:cs="Times New Roman"/>
          <w:sz w:val="24"/>
          <w:szCs w:val="24"/>
          <w:lang w:val="es-ES_tradnl"/>
        </w:rPr>
        <w:t xml:space="preserve">Las organizaciones y/o movimientos indígenas, afrodescendientes, raizales y </w:t>
      </w:r>
      <w:proofErr w:type="spellStart"/>
      <w:r w:rsidRPr="00140071">
        <w:rPr>
          <w:rFonts w:ascii="Times New Roman" w:hAnsi="Times New Roman" w:cs="Times New Roman"/>
          <w:sz w:val="24"/>
          <w:szCs w:val="24"/>
          <w:lang w:val="es-ES_tradnl"/>
        </w:rPr>
        <w:t>palenqueras</w:t>
      </w:r>
      <w:proofErr w:type="spellEnd"/>
      <w:r w:rsidRPr="00140071">
        <w:rPr>
          <w:rFonts w:ascii="Times New Roman" w:hAnsi="Times New Roman" w:cs="Times New Roman"/>
          <w:sz w:val="24"/>
          <w:szCs w:val="24"/>
          <w:lang w:val="es-ES_tradnl"/>
        </w:rPr>
        <w:t xml:space="preserve">, gozarán del respeto a sus diferentes posiciones culturales, ideológicas, cosmovisión y opiniones políticas que surjan del debate democrático. </w:t>
      </w:r>
    </w:p>
    <w:p w14:paraId="45B45A47"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6. Declaración política.</w:t>
      </w:r>
      <w:r w:rsidRPr="00140071">
        <w:rPr>
          <w:rFonts w:ascii="Times New Roman" w:hAnsi="Times New Roman" w:cs="Times New Roman"/>
          <w:sz w:val="24"/>
          <w:szCs w:val="24"/>
          <w:lang w:val="es-ES_tradnl"/>
        </w:rPr>
        <w:t xml:space="preserve"> Dentro del mes siguiente al inicio del Gobierno, so pena </w:t>
      </w:r>
      <w:r w:rsidRPr="00140071">
        <w:rPr>
          <w:rFonts w:ascii="Times New Roman" w:hAnsi="Times New Roman" w:cs="Times New Roman"/>
          <w:sz w:val="24"/>
          <w:szCs w:val="24"/>
          <w:lang w:val="es-ES_tradnl"/>
        </w:rPr>
        <w:lastRenderedPageBreak/>
        <w:t xml:space="preserve">de considerarse falta al régimen contenido en la ley 1475 de 2011 y ser sancionadas de oficio por la Autoridad Electoral, las organizaciones políticas deberán optar por: </w:t>
      </w:r>
    </w:p>
    <w:p w14:paraId="32F837A7" w14:textId="77777777" w:rsidR="002905F3" w:rsidRPr="00140071" w:rsidRDefault="002905F3" w:rsidP="002905F3">
      <w:pPr>
        <w:pStyle w:val="Prrafodelista"/>
        <w:widowControl w:val="0"/>
        <w:numPr>
          <w:ilvl w:val="0"/>
          <w:numId w:val="1"/>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Declararse en oposición.  </w:t>
      </w:r>
    </w:p>
    <w:p w14:paraId="777BBDAF" w14:textId="77777777" w:rsidR="002905F3" w:rsidRPr="00140071" w:rsidRDefault="002905F3" w:rsidP="002905F3">
      <w:pPr>
        <w:pStyle w:val="Prrafodelista"/>
        <w:widowControl w:val="0"/>
        <w:numPr>
          <w:ilvl w:val="0"/>
          <w:numId w:val="1"/>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Declararse independiente.  </w:t>
      </w:r>
    </w:p>
    <w:p w14:paraId="6128CF5E" w14:textId="77777777" w:rsidR="002905F3" w:rsidRPr="00140071" w:rsidRDefault="002905F3" w:rsidP="002905F3">
      <w:pPr>
        <w:pStyle w:val="Prrafodelista"/>
        <w:widowControl w:val="0"/>
        <w:tabs>
          <w:tab w:val="left" w:pos="220"/>
          <w:tab w:val="left" w:pos="720"/>
        </w:tabs>
        <w:autoSpaceDE w:val="0"/>
        <w:autoSpaceDN w:val="0"/>
        <w:adjustRightInd w:val="0"/>
        <w:spacing w:after="293"/>
        <w:jc w:val="both"/>
        <w:rPr>
          <w:rFonts w:ascii="Times New Roman" w:hAnsi="Times New Roman" w:cs="Times New Roman"/>
          <w:lang w:val="es-ES_tradnl"/>
        </w:rPr>
      </w:pPr>
    </w:p>
    <w:p w14:paraId="75A83F75" w14:textId="77777777" w:rsidR="002905F3" w:rsidRPr="00140071" w:rsidRDefault="002905F3" w:rsidP="002905F3">
      <w:pPr>
        <w:pStyle w:val="Prrafodelista"/>
        <w:widowControl w:val="0"/>
        <w:numPr>
          <w:ilvl w:val="0"/>
          <w:numId w:val="1"/>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Declararse organización de gobierno.  </w:t>
      </w:r>
    </w:p>
    <w:p w14:paraId="52976470"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Las organizaciones políticas que inscribieron al candidato electo como Presidente de la República, gobernador o alcalde se tendrán como de gobierno o en coalición de gobierno. En consecuencia, mientras dure su mandato no podrán acceder a los derechos que se le reconocen a las organizaciones políticas de oposición o independientes, en la presente ley.</w:t>
      </w:r>
    </w:p>
    <w:p w14:paraId="14F4FD20"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highlight w:val="yellow"/>
          <w:lang w:val="es-ES_tradnl"/>
        </w:rPr>
      </w:pPr>
      <w:r w:rsidRPr="00140071">
        <w:rPr>
          <w:rFonts w:ascii="Times New Roman" w:hAnsi="Times New Roman" w:cs="Times New Roman"/>
          <w:b/>
          <w:sz w:val="24"/>
          <w:szCs w:val="24"/>
          <w:lang w:val="es-ES_tradnl"/>
        </w:rPr>
        <w:t>Parágrafo.</w:t>
      </w:r>
      <w:r w:rsidRPr="00140071">
        <w:rPr>
          <w:rFonts w:ascii="Times New Roman" w:hAnsi="Times New Roman" w:cs="Times New Roman"/>
          <w:sz w:val="24"/>
          <w:szCs w:val="24"/>
          <w:lang w:val="es-ES_tradnl"/>
        </w:rPr>
        <w:t xml:space="preserve"> Las organizaciones política podrán por una sola vez y ante la Autoridad Electoral modificar su declaración política durante el periodo de gobierno. </w:t>
      </w:r>
    </w:p>
    <w:p w14:paraId="159F5F56"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7. Niveles territoriales de oposición política.</w:t>
      </w:r>
      <w:r w:rsidRPr="00140071">
        <w:rPr>
          <w:rFonts w:ascii="Times New Roman" w:hAnsi="Times New Roman" w:cs="Times New Roman"/>
          <w:sz w:val="24"/>
          <w:szCs w:val="24"/>
          <w:lang w:val="es-ES_tradnl"/>
        </w:rPr>
        <w:t xml:space="preserve"> Los partidos y movimientos políticos con personería jurídica podrán declararse en oposición, en cualquiera de los niveles de gobierno de que trata el artículo 2 de esta ley. </w:t>
      </w:r>
    </w:p>
    <w:p w14:paraId="1E192E40"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Los grupos significativos de ciudadanos y movimientos sociales con representación en las corporaciones públicas de elección popular podrán declararse en oposición al correspondiente nivel gobierno así: </w:t>
      </w:r>
    </w:p>
    <w:p w14:paraId="47101615" w14:textId="77777777" w:rsidR="002905F3" w:rsidRPr="00140071" w:rsidRDefault="002905F3" w:rsidP="002905F3">
      <w:pPr>
        <w:pStyle w:val="Prrafodelista"/>
        <w:widowControl w:val="0"/>
        <w:numPr>
          <w:ilvl w:val="0"/>
          <w:numId w:val="2"/>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Las que tengan representación en el Congreso de la República lo podrán hacer frente al gobierno Nacional  </w:t>
      </w:r>
    </w:p>
    <w:p w14:paraId="4F2BEC62" w14:textId="77777777" w:rsidR="002905F3" w:rsidRPr="00140071" w:rsidRDefault="002905F3" w:rsidP="002905F3">
      <w:pPr>
        <w:pStyle w:val="Prrafodelista"/>
        <w:widowControl w:val="0"/>
        <w:tabs>
          <w:tab w:val="left" w:pos="220"/>
          <w:tab w:val="left" w:pos="720"/>
        </w:tabs>
        <w:autoSpaceDE w:val="0"/>
        <w:autoSpaceDN w:val="0"/>
        <w:adjustRightInd w:val="0"/>
        <w:spacing w:after="293"/>
        <w:ind w:left="1080"/>
        <w:jc w:val="both"/>
        <w:rPr>
          <w:rFonts w:ascii="Times New Roman" w:hAnsi="Times New Roman" w:cs="Times New Roman"/>
          <w:lang w:val="es-ES_tradnl"/>
        </w:rPr>
      </w:pPr>
    </w:p>
    <w:p w14:paraId="631853C0" w14:textId="77777777" w:rsidR="002905F3" w:rsidRPr="00140071" w:rsidRDefault="002905F3" w:rsidP="002905F3">
      <w:pPr>
        <w:pStyle w:val="Prrafodelista"/>
        <w:widowControl w:val="0"/>
        <w:numPr>
          <w:ilvl w:val="0"/>
          <w:numId w:val="2"/>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Las que tengan representación en las asambleas departamentales lo podrán hacer frente a la respectiva administración departamental  </w:t>
      </w:r>
    </w:p>
    <w:p w14:paraId="3751D906" w14:textId="77777777" w:rsidR="002905F3" w:rsidRPr="00140071" w:rsidRDefault="002905F3" w:rsidP="002905F3">
      <w:pPr>
        <w:pStyle w:val="Prrafodelista"/>
        <w:widowControl w:val="0"/>
        <w:tabs>
          <w:tab w:val="left" w:pos="220"/>
          <w:tab w:val="left" w:pos="720"/>
        </w:tabs>
        <w:autoSpaceDE w:val="0"/>
        <w:autoSpaceDN w:val="0"/>
        <w:adjustRightInd w:val="0"/>
        <w:spacing w:after="293"/>
        <w:ind w:left="1080"/>
        <w:jc w:val="both"/>
        <w:rPr>
          <w:rFonts w:ascii="Times New Roman" w:hAnsi="Times New Roman" w:cs="Times New Roman"/>
          <w:lang w:val="es-ES_tradnl"/>
        </w:rPr>
      </w:pPr>
    </w:p>
    <w:p w14:paraId="59FF80B6" w14:textId="77777777" w:rsidR="002905F3" w:rsidRPr="00140071" w:rsidRDefault="002905F3" w:rsidP="002905F3">
      <w:pPr>
        <w:pStyle w:val="Prrafodelista"/>
        <w:widowControl w:val="0"/>
        <w:numPr>
          <w:ilvl w:val="0"/>
          <w:numId w:val="2"/>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Las que ostenten representación en los concejos municipales y distritales lo podrán hacer frente a la respectiva administración municipal o distrital.  </w:t>
      </w:r>
    </w:p>
    <w:p w14:paraId="39F9B589"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8. Competencia para efectuar la declaración política.</w:t>
      </w:r>
      <w:r w:rsidRPr="00140071">
        <w:rPr>
          <w:rFonts w:ascii="Times New Roman" w:hAnsi="Times New Roman" w:cs="Times New Roman"/>
          <w:sz w:val="24"/>
          <w:szCs w:val="24"/>
          <w:lang w:val="es-ES_tradnl"/>
        </w:rPr>
        <w:t xml:space="preserve"> En el caso de los partidos y movimientos políticos con personería jurídica, la declaración política o su modificación se adoptará, en cada nivel territorial, de conformidad con lo establecido en sus estatutos. </w:t>
      </w:r>
    </w:p>
    <w:p w14:paraId="3BB6266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Cuando se trate de grupos significativos de ciudadanos y movimientos sociales con representación en corporaciones públicas de elección popular, la decisión se adoptará por los miembros de la bancada en la correspondiente corporación pública. </w:t>
      </w:r>
    </w:p>
    <w:p w14:paraId="55ED25BF"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Parágrafo transitorio.</w:t>
      </w:r>
      <w:r w:rsidRPr="00140071">
        <w:rPr>
          <w:rFonts w:ascii="Times New Roman" w:hAnsi="Times New Roman" w:cs="Times New Roman"/>
          <w:sz w:val="24"/>
          <w:szCs w:val="24"/>
          <w:lang w:val="es-ES_tradnl"/>
        </w:rPr>
        <w:t xml:space="preserve"> Las organizaciones políticas deberán modificar sus estatutos y definir el mecanismo o autoridades competentes para realizar la declaración política antes del veinte (20) de julio de 2018. </w:t>
      </w:r>
      <w:r w:rsidRPr="00140071">
        <w:rPr>
          <w:rFonts w:ascii="Times New Roman" w:hAnsi="Times New Roman" w:cs="Times New Roman"/>
          <w:strike/>
          <w:sz w:val="24"/>
          <w:szCs w:val="24"/>
          <w:lang w:val="es-ES_tradnl"/>
        </w:rPr>
        <w:t xml:space="preserve"> </w:t>
      </w:r>
    </w:p>
    <w:p w14:paraId="05CDFDC9"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9. Registro y publicidad</w:t>
      </w:r>
      <w:r w:rsidRPr="00140071">
        <w:rPr>
          <w:rFonts w:ascii="Times New Roman" w:hAnsi="Times New Roman" w:cs="Times New Roman"/>
          <w:sz w:val="24"/>
          <w:szCs w:val="24"/>
          <w:lang w:val="es-ES_tradnl"/>
        </w:rPr>
        <w:t xml:space="preserve">. La declaración política o su modificación, deberá </w:t>
      </w:r>
      <w:r w:rsidRPr="00140071">
        <w:rPr>
          <w:rFonts w:ascii="Times New Roman" w:hAnsi="Times New Roman" w:cs="Times New Roman"/>
          <w:sz w:val="24"/>
          <w:szCs w:val="24"/>
          <w:lang w:val="es-ES_tradnl"/>
        </w:rPr>
        <w:lastRenderedPageBreak/>
        <w:t xml:space="preserve">registrarse ante la correspondiente Autoridad Electoral, o en su defecto ante la </w:t>
      </w:r>
      <w:proofErr w:type="spellStart"/>
      <w:r w:rsidRPr="00140071">
        <w:rPr>
          <w:rFonts w:ascii="Times New Roman" w:hAnsi="Times New Roman" w:cs="Times New Roman"/>
          <w:sz w:val="24"/>
          <w:szCs w:val="24"/>
          <w:lang w:val="es-ES_tradnl"/>
        </w:rPr>
        <w:t>Registraduría</w:t>
      </w:r>
      <w:proofErr w:type="spellEnd"/>
      <w:r w:rsidRPr="00140071">
        <w:rPr>
          <w:rFonts w:ascii="Times New Roman" w:hAnsi="Times New Roman" w:cs="Times New Roman"/>
          <w:sz w:val="24"/>
          <w:szCs w:val="24"/>
          <w:lang w:val="es-ES_tradnl"/>
        </w:rPr>
        <w:t xml:space="preserve"> Distrital o Municipal según corresponda, quienes deberán remitirla de manera oportuna a aquella, para su respectiva inscripción en el registro único de partidos y movimientos políticos. A partir de la inscripción se harán exigibles los derechos previstos en esta ley. </w:t>
      </w:r>
    </w:p>
    <w:p w14:paraId="4A8DC2FD"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La Autoridad Electoral publicará y actualizará en su página web las respectivas declaraciones o modificaciones.  </w:t>
      </w:r>
    </w:p>
    <w:p w14:paraId="3B7E3BE0"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10. Representación de las organizaciones políticas para el ejercicio y protección de los derechos de oposición e independientes.</w:t>
      </w:r>
      <w:r w:rsidRPr="00140071">
        <w:rPr>
          <w:rFonts w:ascii="Times New Roman" w:hAnsi="Times New Roman" w:cs="Times New Roman"/>
          <w:sz w:val="24"/>
          <w:szCs w:val="24"/>
          <w:lang w:val="es-ES_tradnl"/>
        </w:rPr>
        <w:t xml:space="preserve"> Para el ejercicio de los derechos derivados de la declaración de oposición e independencia, y para activar los mecanismos de protección, se tendrán como representantes de los partidos y movimientos políticos con personería jurídica, a las autoridades territoriales y nacionales que definan sus estatutos. </w:t>
      </w:r>
    </w:p>
    <w:p w14:paraId="74CBE3A7"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Tratándose de grupos significativos de ciudadanos con representación en corporaciones públicas de elección popular, se tendrá a su comité promotor y a los miembros de la bancada. </w:t>
      </w:r>
    </w:p>
    <w:p w14:paraId="4CE9715B"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Tratándose de movimientos sociales con representación en corporaciones públicas de elección popular, se tendrá a quienes figuren como representantes legales de las mismas y a los miembros de las correspondientes bancadas. </w:t>
      </w:r>
    </w:p>
    <w:p w14:paraId="32AE9B48"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p>
    <w:p w14:paraId="6F87F038"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CAPÍTULO II </w:t>
      </w:r>
    </w:p>
    <w:p w14:paraId="4D179718"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De los derechos de la oposición política</w:t>
      </w:r>
    </w:p>
    <w:p w14:paraId="1D0C4C36"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11. Derechos.</w:t>
      </w:r>
      <w:r w:rsidRPr="00140071">
        <w:rPr>
          <w:rFonts w:ascii="Times New Roman" w:hAnsi="Times New Roman" w:cs="Times New Roman"/>
          <w:sz w:val="24"/>
          <w:szCs w:val="24"/>
          <w:lang w:val="es-ES_tradnl"/>
        </w:rPr>
        <w:t xml:space="preserve"> Las organizaciones políticas declaradas en oposición de que trata la presente ley, tendrán los siguientes derechos específicos: </w:t>
      </w:r>
    </w:p>
    <w:p w14:paraId="7BD47AF2"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a) Financiación adicional para el ejercicio de la oposición.  </w:t>
      </w:r>
    </w:p>
    <w:p w14:paraId="217D931F"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b) Acceso a los medios de comunicación social del Estado o que hacen uso del  espectro electromagnético.  </w:t>
      </w:r>
    </w:p>
    <w:p w14:paraId="6981D3D1"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c) Acceso a la información y a la documentación oficial.  </w:t>
      </w:r>
    </w:p>
    <w:p w14:paraId="34A7E4AC"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d) Derecho de réplica.  </w:t>
      </w:r>
    </w:p>
    <w:p w14:paraId="27FC7BF8"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e) Participación en mesas directivas de plenarias de las corporaciones públicas de  elección popular.  </w:t>
      </w:r>
    </w:p>
    <w:p w14:paraId="1C2C98A3"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f) Participación en la Agenda de las Corporaciones Públicas.  </w:t>
      </w:r>
    </w:p>
    <w:p w14:paraId="75E859E3"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g) Garantía del libre ejercicio de los derechos políticos. </w:t>
      </w:r>
    </w:p>
    <w:p w14:paraId="6DCD4DE7"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lastRenderedPageBreak/>
        <w:t>h) Participación en la Comisión de Relaciones Exteriores.  </w:t>
      </w:r>
    </w:p>
    <w:p w14:paraId="78327B3E"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i) Derecho a participar en las herramientas de comunicación de las corporaciones  públicas de elección popular.  </w:t>
      </w:r>
    </w:p>
    <w:p w14:paraId="43AF021E"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j) Derecho a la sesión exclusiva sobre el Plan de Desarrollo y presupuesto.  </w:t>
      </w:r>
    </w:p>
    <w:p w14:paraId="2BF117D6"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 xml:space="preserve">Parágrafo. </w:t>
      </w:r>
      <w:r w:rsidRPr="00140071">
        <w:rPr>
          <w:rFonts w:ascii="Times New Roman" w:hAnsi="Times New Roman" w:cs="Times New Roman"/>
          <w:sz w:val="24"/>
          <w:szCs w:val="24"/>
          <w:lang w:val="es-ES_tradnl"/>
        </w:rPr>
        <w:t xml:space="preserve">Se promoverán garantías y mecanismos de acciones afirmativas para que los partidos y movimientos sociales de los pueblos indígenas y afrodescendientes accedan a los derechos reconocidos en este artículo. </w:t>
      </w:r>
    </w:p>
    <w:p w14:paraId="5B2C2589"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12. Financiación adicional para el ejercicio de la oposición</w:t>
      </w:r>
      <w:r w:rsidRPr="00140071">
        <w:rPr>
          <w:rFonts w:ascii="Times New Roman" w:hAnsi="Times New Roman" w:cs="Times New Roman"/>
          <w:sz w:val="24"/>
          <w:szCs w:val="24"/>
          <w:lang w:val="es-ES_tradnl"/>
        </w:rPr>
        <w:t xml:space="preserve">. Se apropiará una partida adicional para el Fondo Nacional de Financiación Política, equivalente al cinco por ciento (5%) del monto del financiamiento del funcionamiento permanente de los partidos y movimientos políticos con personería jurídica, con destino a las organizaciones políticas declaradas en oposición al Gobierno Nacional, quienes internamente garantizarán el manejo de los recursos asignados de acuerdo a los principios constitucionales y legales rectores del presente Estatuto. Esta partida se distribuirá en partes iguales entre todos ellas. </w:t>
      </w:r>
    </w:p>
    <w:p w14:paraId="47A8ECD5"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 xml:space="preserve">Parágrafo Primero. </w:t>
      </w:r>
      <w:r w:rsidRPr="00140071">
        <w:rPr>
          <w:rFonts w:ascii="Times New Roman" w:hAnsi="Times New Roman" w:cs="Times New Roman"/>
          <w:sz w:val="24"/>
          <w:szCs w:val="24"/>
          <w:lang w:val="es-ES_tradnl"/>
        </w:rPr>
        <w:t xml:space="preserve">De presentarse modificación a la declaratoria de oposición al Gobierno Nacional por parte de alguna organización política, la misma deberá devolver los dineros no ejecutados al Fondo Nacional de Financiación Política. </w:t>
      </w:r>
    </w:p>
    <w:p w14:paraId="36928F15"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Parágrafo Segundo.</w:t>
      </w:r>
      <w:r w:rsidRPr="00140071">
        <w:rPr>
          <w:rFonts w:ascii="Times New Roman" w:hAnsi="Times New Roman" w:cs="Times New Roman"/>
          <w:sz w:val="24"/>
          <w:szCs w:val="24"/>
          <w:lang w:val="es-ES_tradnl"/>
        </w:rPr>
        <w:t xml:space="preserve"> Las autoridades competentes deberán adelantar las medidas necesarias para asegurar la financiación en los términos del presente artículo a partir del veinte (20) de julio de 2018. </w:t>
      </w:r>
    </w:p>
    <w:p w14:paraId="2F87DB17"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13. Acceso a los medios de comunicación social del Estado y los que hacen uso del espectro electromagnético</w:t>
      </w:r>
      <w:r w:rsidRPr="00140071">
        <w:rPr>
          <w:rFonts w:ascii="Times New Roman" w:hAnsi="Times New Roman" w:cs="Times New Roman"/>
          <w:sz w:val="24"/>
          <w:szCs w:val="24"/>
          <w:lang w:val="es-ES_tradnl"/>
        </w:rPr>
        <w:t xml:space="preserve">. Sin perjuicio de los espacios institucionales para la divulgación política otorgados a todos los partidos y movimientos políticos con personería jurídica, la Autoridad Electoral asignará entre las organizaciones políticas con representación en las corporaciones públicas de elección popular que se declaren en oposición, espacios adicionales en medios de comunicación social del Estado y los que hacen uso del espectro electromagnético. Para radio y televisión, se hará de la siguiente manera: </w:t>
      </w:r>
    </w:p>
    <w:p w14:paraId="09ECDF9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a) Asignará, en cada canal de televisión y emisora, al menos 30 minutos mensuales en las franjas de mayor sintonía.  </w:t>
      </w:r>
    </w:p>
    <w:p w14:paraId="5F4B7734"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b) Determinará la duración, frecuencia y fechas de emisión de los espacios, con el apoyo técnico de la Autoridad Nacional de Televisión y del Ministerio de las Tecnologías de Información y las Comunicaciones, según sea el caso.  </w:t>
      </w:r>
    </w:p>
    <w:p w14:paraId="6D28F8AE"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c) Para el ejercicio de la oposición al Gobierno Nacional, se asignarán solamente en medios de comunicación con cobertura nacional. Para el ejercicio de la oposición a nivel territorial, </w:t>
      </w:r>
      <w:r w:rsidRPr="00140071">
        <w:rPr>
          <w:rFonts w:ascii="Times New Roman" w:hAnsi="Times New Roman" w:cs="Times New Roman"/>
          <w:sz w:val="24"/>
          <w:szCs w:val="24"/>
          <w:lang w:val="es-ES_tradnl"/>
        </w:rPr>
        <w:lastRenderedPageBreak/>
        <w:t>se asignarán espacios de acuerdo a la cobertura y correspondencia de los medios con el nivel territorial.  </w:t>
      </w:r>
    </w:p>
    <w:p w14:paraId="57D90F8A"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d) El cincuenta por ciento (50%) del tiempo se asignará en partes iguales, y el otro cincuenta por ciento (50%) con base en el número de escaños que tenga cada organización en el Congreso de la República, las asambleas departamentales y los concejos municipales o distritales, según corresponda.  </w:t>
      </w:r>
    </w:p>
    <w:p w14:paraId="3D36035D"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e) El costo de los espacios será asumido con cargo al Presupuesto General de la Nación, para lo cual se apropiarán anualmente las partidas necesarias.  </w:t>
      </w:r>
    </w:p>
    <w:p w14:paraId="5C2BE5A5"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f) Para las concesiones o títulos que se asignen, renueven o prorroguen a partir de la vigencia de esta ley, los tiempos necesarios para el cumplimiento de lo aquí ordenado constituye una obligación especial del servicio a cargo de los concesionarios u operadores.  </w:t>
      </w:r>
    </w:p>
    <w:p w14:paraId="1B15C322" w14:textId="77777777" w:rsidR="002905F3" w:rsidRPr="00140071" w:rsidRDefault="002905F3" w:rsidP="002905F3">
      <w:pPr>
        <w:widowControl w:val="0"/>
        <w:tabs>
          <w:tab w:val="left" w:pos="220"/>
          <w:tab w:val="left" w:pos="720"/>
        </w:tabs>
        <w:autoSpaceDE w:val="0"/>
        <w:autoSpaceDN w:val="0"/>
        <w:adjustRightInd w:val="0"/>
        <w:spacing w:after="293"/>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g) En los espacios otorgados para divulgación política en los medios de comunicación social del Estado y los que hacen uso del espectro electromagnético, las </w:t>
      </w:r>
      <w:r w:rsidRPr="00140071">
        <w:rPr>
          <w:rFonts w:ascii="Times New Roman" w:hAnsi="Times New Roman" w:cs="Times New Roman"/>
          <w:b/>
          <w:sz w:val="24"/>
          <w:szCs w:val="24"/>
          <w:lang w:val="es-ES_tradnl"/>
        </w:rPr>
        <w:t>organizaciones</w:t>
      </w:r>
      <w:r w:rsidRPr="00140071">
        <w:rPr>
          <w:rFonts w:ascii="Times New Roman" w:hAnsi="Times New Roman" w:cs="Times New Roman"/>
          <w:sz w:val="24"/>
          <w:szCs w:val="24"/>
          <w:lang w:val="es-ES_tradnl"/>
        </w:rPr>
        <w:t xml:space="preserve"> políticas deberán garantizar la participación paritaria entre hombres y mujeres.  </w:t>
      </w:r>
    </w:p>
    <w:p w14:paraId="2CEBC12D"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h)  La Autoridad Electoral reglamentará la materia.</w:t>
      </w:r>
    </w:p>
    <w:p w14:paraId="6B5E9C4F"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14. Acceso a medios de comunicación en instalación del Congreso.</w:t>
      </w:r>
      <w:r w:rsidRPr="00140071">
        <w:rPr>
          <w:rFonts w:ascii="Times New Roman" w:hAnsi="Times New Roman" w:cs="Times New Roman"/>
          <w:sz w:val="24"/>
          <w:szCs w:val="24"/>
          <w:lang w:val="es-ES_tradnl"/>
        </w:rPr>
        <w:t xml:space="preserve"> En la instalación de las sesiones del Congreso por parte del Presidente de la República, luego de la transmisión oficial, las organizaciones políticas declaradas en oposición al Gobierno Nacional tendrán un tiempo de veinte (20) minutos para presentar sus observaciones y dar a conocer los planteamientos alternativos, en los mismos medios de comunicación social utilizados para la transmisión oficial. De no ser posible construir un acuerdo entre las organizaciones políticas declaradas en oposición, el tiempo será distribuido en proporción a su representación en el Congreso. </w:t>
      </w:r>
    </w:p>
    <w:p w14:paraId="279F6F0C"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Parágrafo</w:t>
      </w:r>
      <w:r w:rsidRPr="00140071">
        <w:rPr>
          <w:rFonts w:ascii="Times New Roman" w:hAnsi="Times New Roman" w:cs="Times New Roman"/>
          <w:sz w:val="24"/>
          <w:szCs w:val="24"/>
          <w:lang w:val="es-ES_tradnl"/>
        </w:rPr>
        <w:t xml:space="preserve">. La Autoridad Electoral reglamentará la materia, así como las condiciones en que este derecho pueda extenderse al ejercicio de la oposición a las administraciones departamentales, distritales y municipales, siempre garantizando condiciones de equidad y proporcionalidad en relación espacios, tiempos y medios utilizados por los gobiernos locales. </w:t>
      </w:r>
    </w:p>
    <w:p w14:paraId="2A73EC03"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15. Acceso a medios de comunicación en alocuciones presidenciales.</w:t>
      </w:r>
      <w:r w:rsidRPr="00140071">
        <w:rPr>
          <w:rFonts w:ascii="Times New Roman" w:hAnsi="Times New Roman" w:cs="Times New Roman"/>
          <w:sz w:val="24"/>
          <w:szCs w:val="24"/>
          <w:lang w:val="es-ES_tradnl"/>
        </w:rPr>
        <w:t xml:space="preserve"> Cuando el Presidente de la República haga alocuciones oficiales en medios de comunicación que usan el espectro electromagnético, las organizaciones políticas declaradas en oposición al Gobierno Nacional, tendrán en el transcurso de las siguientes cuarenta y ocho (48) horas, en los mismos medios, con igual tiempo y horario, espacios para controvertir la posición del gobierno. Esta opción tendrá un límite de tres veces en el año. De no ser posible construir un acuerdo entre las organizaciones políticas declaradas en oposición, el tiempo será distribuido en proporción a su representación en el Congreso. </w:t>
      </w:r>
    </w:p>
    <w:p w14:paraId="3C3201F6"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lastRenderedPageBreak/>
        <w:t>Parágrafo.</w:t>
      </w:r>
      <w:r w:rsidRPr="00140071">
        <w:rPr>
          <w:rFonts w:ascii="Times New Roman" w:hAnsi="Times New Roman" w:cs="Times New Roman"/>
          <w:sz w:val="24"/>
          <w:szCs w:val="24"/>
          <w:lang w:val="es-ES_tradnl"/>
        </w:rPr>
        <w:t xml:space="preserve"> La Autoridad Electoral reglamentará la materia, así como las condiciones en que este derecho pueda extenderse al ejercicio de la oposición a las administraciones departamentales, distritales y municipales. </w:t>
      </w:r>
    </w:p>
    <w:p w14:paraId="65821028" w14:textId="77777777" w:rsidR="002905F3" w:rsidRPr="008018C3"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8018C3">
        <w:rPr>
          <w:rFonts w:ascii="Times New Roman" w:hAnsi="Times New Roman" w:cs="Times New Roman"/>
          <w:b/>
          <w:sz w:val="24"/>
          <w:szCs w:val="24"/>
          <w:lang w:val="es-ES_tradnl"/>
        </w:rPr>
        <w:t>Artículo 16. Acceso a la información y a la documentación oficial.</w:t>
      </w:r>
      <w:r w:rsidRPr="008018C3">
        <w:rPr>
          <w:rFonts w:ascii="Times New Roman" w:hAnsi="Times New Roman" w:cs="Times New Roman"/>
          <w:sz w:val="24"/>
          <w:szCs w:val="24"/>
          <w:lang w:val="es-ES_tradnl"/>
        </w:rPr>
        <w:t xml:space="preserve"> Las organizaciones políticas que se declaren en oposición tendrán derecho a que se les facilite con celeridad, la información y documentación oficial, dentro de los cinco (5) días siguientes a la presentación de la solicitud. </w:t>
      </w:r>
    </w:p>
    <w:p w14:paraId="49B2CDE9" w14:textId="77777777" w:rsidR="002905F3" w:rsidRPr="008018C3"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8018C3">
        <w:rPr>
          <w:rFonts w:ascii="Times New Roman" w:hAnsi="Times New Roman" w:cs="Times New Roman"/>
          <w:b/>
          <w:sz w:val="24"/>
          <w:szCs w:val="24"/>
          <w:lang w:val="es-ES_tradnl"/>
        </w:rPr>
        <w:t>Parágrafo</w:t>
      </w:r>
      <w:r w:rsidRPr="008018C3">
        <w:rPr>
          <w:rFonts w:ascii="Times New Roman" w:hAnsi="Times New Roman" w:cs="Times New Roman"/>
          <w:sz w:val="24"/>
          <w:szCs w:val="24"/>
          <w:lang w:val="es-ES_tradnl"/>
        </w:rPr>
        <w:t>. Lo anterior sin perjuicio de lo contemplado en el artículo 258 de la ley 5ª de 1992.</w:t>
      </w:r>
    </w:p>
    <w:p w14:paraId="6B923564"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17. Derecho de réplica</w:t>
      </w:r>
      <w:r w:rsidRPr="00140071">
        <w:rPr>
          <w:rFonts w:ascii="Times New Roman" w:hAnsi="Times New Roman" w:cs="Times New Roman"/>
          <w:sz w:val="24"/>
          <w:szCs w:val="24"/>
          <w:lang w:val="es-ES_tradnl"/>
        </w:rPr>
        <w:t>. Las organizaciones</w:t>
      </w:r>
      <w:r w:rsidRPr="00140071" w:rsidDel="000342C2">
        <w:rPr>
          <w:rFonts w:ascii="Times New Roman" w:hAnsi="Times New Roman" w:cs="Times New Roman"/>
          <w:sz w:val="24"/>
          <w:szCs w:val="24"/>
          <w:lang w:val="es-ES_tradnl"/>
        </w:rPr>
        <w:t xml:space="preserve"> </w:t>
      </w:r>
      <w:r w:rsidRPr="00140071">
        <w:rPr>
          <w:rFonts w:ascii="Times New Roman" w:hAnsi="Times New Roman" w:cs="Times New Roman"/>
          <w:sz w:val="24"/>
          <w:szCs w:val="24"/>
          <w:lang w:val="es-ES_tradnl"/>
        </w:rPr>
        <w:t xml:space="preserve"> políticas que se declaren en oposición tendrán el derecho de réplica en los medios de comunicación social del Estado o que utilicen el espectro electromagnético, frente a tergiversaciones graves y evidentes o ataques públicos proferidos por el Presidente de la República, ministros, gobernadores, alcaldes, secretarios de despacho, directores o gerentes de entidades descentralizadas y por cualquier otro alto funcionario oficial. En tales casos la organización política interesada en ejercer este derecho, podrá responder en forma oportuna, y con tiempo, medio y espacio por lo menos iguales al que suscitó su ejercicio, y en todo caso que garanticen una amplia difusión. </w:t>
      </w:r>
    </w:p>
    <w:p w14:paraId="63171DAF" w14:textId="77777777" w:rsidR="002905F3" w:rsidRPr="00140071" w:rsidRDefault="002905F3" w:rsidP="002905F3">
      <w:pPr>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Cuando los ataques mencionados se produzcan en alocuciones o intervenciones oficiales, haciendo uso de los espacios que la ley reserva para este tipo de funcionarios en los medios de comunicación social del Estado o que utilicen el espectro electromagnético, se solicitará la protección del derecho en los términos establecidos en esta ley y se concederá en condiciones de equidad para que el representante de la organización de oposición pueda responder en forma oportuna, y con tiempos y medios similares, y que en todo caso garanticen una amplia difusión.</w:t>
      </w:r>
    </w:p>
    <w:p w14:paraId="08DAB332" w14:textId="77777777" w:rsidR="002905F3" w:rsidRPr="00140071" w:rsidRDefault="002905F3" w:rsidP="002905F3">
      <w:pPr>
        <w:jc w:val="both"/>
        <w:rPr>
          <w:rFonts w:ascii="Times New Roman" w:hAnsi="Times New Roman" w:cs="Times New Roman"/>
          <w:sz w:val="24"/>
          <w:szCs w:val="24"/>
          <w:lang w:val="es-ES_tradnl"/>
        </w:rPr>
      </w:pPr>
    </w:p>
    <w:p w14:paraId="491938DD" w14:textId="77777777" w:rsidR="002905F3" w:rsidRPr="00140071" w:rsidRDefault="002905F3" w:rsidP="002905F3">
      <w:pPr>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 la organización de oposición afectada de responder y controvertir el ataque. Cuando el medio de comunicación en el cual se haya emitido el ataque haya dado oportunidad de respuesta, no procederá en ningún caso el derecho de réplica.</w:t>
      </w:r>
    </w:p>
    <w:p w14:paraId="67A75CDC" w14:textId="77777777" w:rsidR="002905F3" w:rsidRPr="00140071" w:rsidRDefault="002905F3" w:rsidP="002905F3">
      <w:pPr>
        <w:jc w:val="both"/>
        <w:rPr>
          <w:rFonts w:ascii="Times New Roman" w:hAnsi="Times New Roman" w:cs="Times New Roman"/>
          <w:sz w:val="24"/>
          <w:szCs w:val="24"/>
          <w:lang w:val="es-ES_tradnl"/>
        </w:rPr>
      </w:pPr>
    </w:p>
    <w:p w14:paraId="1AA25750" w14:textId="77777777" w:rsidR="002905F3" w:rsidRPr="00140071" w:rsidRDefault="002905F3" w:rsidP="002905F3">
      <w:pPr>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Si el medio no concede la oportunidad de responder al afectado y quien así se considere contacta al medio de comunicación, dentro de los tres días siguientes a la emisión de las declaraciones, y éste se niega a permitir su intervención, la organización de oposición afectada podrá acudir a la acción de protección de los derechos de oposición en los términos del artículo 28 de la presente ley.  </w:t>
      </w:r>
    </w:p>
    <w:p w14:paraId="60FC6769" w14:textId="77777777" w:rsidR="002905F3" w:rsidRPr="00140071" w:rsidRDefault="002905F3" w:rsidP="002905F3">
      <w:pPr>
        <w:jc w:val="both"/>
        <w:rPr>
          <w:rFonts w:ascii="Times New Roman" w:hAnsi="Times New Roman" w:cs="Times New Roman"/>
          <w:sz w:val="24"/>
          <w:szCs w:val="24"/>
          <w:lang w:val="es-ES_tradnl"/>
        </w:rPr>
      </w:pPr>
    </w:p>
    <w:p w14:paraId="4E180EB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0BF89D8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18. Participación en mesas directivas de plenarias de corporaciones públicas de elección popular</w:t>
      </w:r>
      <w:r w:rsidRPr="00140071">
        <w:rPr>
          <w:rFonts w:ascii="Times New Roman" w:hAnsi="Times New Roman" w:cs="Times New Roman"/>
          <w:sz w:val="24"/>
          <w:szCs w:val="24"/>
          <w:lang w:val="es-ES_tradnl"/>
        </w:rPr>
        <w:t xml:space="preserve">. Las organizaciones políticas declaradas en oposición y con representación en la correspondiente corporación pública, tendrán participación a través de al menos una de las posiciones de las mesas directivas de las Plenarias del Congreso de la República, las asambleas departamentales, los concejos distritales y de capitales departamentales. Los candidatos para ocupar la plaza que le corresponda a la oposición solo podrán ser postulados por dichas organizaciones. </w:t>
      </w:r>
    </w:p>
    <w:p w14:paraId="5BC110B9"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La organización política que hubiese ocupado este lugar en las mesas directivas no podrá volver a ocuparlo hasta tanto no lo hagan las demás declaradas en oposición, salvo que por unanimidad así lo decidan. </w:t>
      </w:r>
    </w:p>
    <w:p w14:paraId="18AB75A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Esta representación debe alternarse en períodos sucesivos entre hombres y mujeres. </w:t>
      </w:r>
    </w:p>
    <w:p w14:paraId="04CC74F6"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19. Participación en la Agenda de las Corporaciones Pública.</w:t>
      </w:r>
      <w:r w:rsidRPr="00140071">
        <w:rPr>
          <w:rFonts w:ascii="Times New Roman" w:hAnsi="Times New Roman" w:cs="Times New Roman"/>
          <w:sz w:val="24"/>
          <w:szCs w:val="24"/>
          <w:lang w:val="es-ES_tradnl"/>
        </w:rPr>
        <w:t xml:space="preserve"> Los voceros de las bancadas de las organizaciones</w:t>
      </w:r>
      <w:r w:rsidRPr="00140071" w:rsidDel="00515B68">
        <w:rPr>
          <w:rFonts w:ascii="Times New Roman" w:hAnsi="Times New Roman" w:cs="Times New Roman"/>
          <w:sz w:val="24"/>
          <w:szCs w:val="24"/>
          <w:lang w:val="es-ES_tradnl"/>
        </w:rPr>
        <w:t xml:space="preserve"> </w:t>
      </w:r>
      <w:r w:rsidRPr="00140071">
        <w:rPr>
          <w:rFonts w:ascii="Times New Roman" w:hAnsi="Times New Roman" w:cs="Times New Roman"/>
          <w:sz w:val="24"/>
          <w:szCs w:val="24"/>
          <w:lang w:val="es-ES_tradnl"/>
        </w:rPr>
        <w:t xml:space="preserve">políticas declaradas en oposición y con representación en la respectiva corporación pública de elección popular, según sus prioridades y de común acuerdo entre ellos, tendrán derecho a determinar el orden del día de la sesión plenaria y comisiones permanentes, tres (3) veces durante cada legislatura del Congreso de conformidad con lo establecido en el artículo 138 de la Constitución Política, y una (1) vez durante cada período de sesiones ordinarias de la asamblea departamental, concejo distrital o municipal, según corresponda. El orden del día podrá incluir debates de control político. La mesa directiva deberá acogerse y respetar ese orden del día. </w:t>
      </w:r>
    </w:p>
    <w:p w14:paraId="32AFC22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El orden del día que por derecho propio determinan los voceros de las bancadas de las organizaciones políticas declaradas en oposición, sólo podrá ser modificado por ellos mismos. </w:t>
      </w:r>
    </w:p>
    <w:p w14:paraId="1BB93D20"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Parágrafo</w:t>
      </w:r>
      <w:r w:rsidRPr="00140071">
        <w:rPr>
          <w:rFonts w:ascii="Times New Roman" w:hAnsi="Times New Roman" w:cs="Times New Roman"/>
          <w:sz w:val="24"/>
          <w:szCs w:val="24"/>
          <w:lang w:val="es-ES_tradnl"/>
        </w:rPr>
        <w:t xml:space="preserve">. Será considerada falta grave la inasistencia, sin causa justificada, por parte del funcionario del Gobierno Nacional o local citado a debate de control político durante las sesiones en donde el orden el día haya sido determinado por las organizaciones políticas declaradas en oposición. </w:t>
      </w:r>
    </w:p>
    <w:p w14:paraId="2C6AA30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20. Participación en la Comisión de Relaciones Exteriores</w:t>
      </w:r>
      <w:r w:rsidRPr="00140071">
        <w:rPr>
          <w:rFonts w:ascii="Times New Roman" w:hAnsi="Times New Roman" w:cs="Times New Roman"/>
          <w:sz w:val="24"/>
          <w:szCs w:val="24"/>
          <w:lang w:val="es-ES_tradnl"/>
        </w:rPr>
        <w:t xml:space="preserve">. Para la selección de los miembros del Senado de la República en la Comisión Asesora de Relaciones Exteriores se elegirá al menos un principal y un suplente de las organizaciones políticas declaradas en </w:t>
      </w:r>
      <w:r w:rsidRPr="00140071">
        <w:rPr>
          <w:rFonts w:ascii="Times New Roman" w:hAnsi="Times New Roman" w:cs="Times New Roman"/>
          <w:sz w:val="24"/>
          <w:szCs w:val="24"/>
          <w:lang w:val="es-ES_tradnl"/>
        </w:rPr>
        <w:lastRenderedPageBreak/>
        <w:t>oposición al Gobierno Nacional y con representación en dicha cámara, de los cuales uno será mujer y se alternará la posición principal y suplencia entre el hombre y la mujer. Los candidatos solo podrán ser postulados por dichas organizaciones.</w:t>
      </w:r>
      <w:r w:rsidRPr="00140071" w:rsidDel="00515B68">
        <w:rPr>
          <w:rFonts w:ascii="Times New Roman" w:hAnsi="Times New Roman" w:cs="Times New Roman"/>
          <w:sz w:val="24"/>
          <w:szCs w:val="24"/>
          <w:lang w:val="es-ES_tradnl"/>
        </w:rPr>
        <w:t xml:space="preserve"> </w:t>
      </w:r>
    </w:p>
    <w:p w14:paraId="11FC47EA"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21. Derecho a participar en las herramientas de comunicación de las corporaciones públicas de elección popular.</w:t>
      </w:r>
      <w:r w:rsidRPr="00140071">
        <w:rPr>
          <w:rFonts w:ascii="Times New Roman" w:hAnsi="Times New Roman" w:cs="Times New Roman"/>
          <w:sz w:val="24"/>
          <w:szCs w:val="24"/>
          <w:lang w:val="es-ES_tradnl"/>
        </w:rPr>
        <w:t xml:space="preserve"> Las organizaciones políticas con representación en las corporaciones públicas de elección popular declaradas en oposición tendrán derecho a una participación adecuada y equitativa en los programas de radio, televisión, publicaciones escritas y demás herramientas de comunicación que estén a cargo de la respectiva corporación pública de elección popular. </w:t>
      </w:r>
    </w:p>
    <w:p w14:paraId="165F9ABA"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 xml:space="preserve">Artículo 22. Transparencia y rendición de cuentas en el Plan de Desarrollo y Planes Plurianuales de Inversión. </w:t>
      </w:r>
    </w:p>
    <w:p w14:paraId="6CBF8651"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En el marco de la aprobación de los planes plurianuales de inversiones de los Planes de Desarrollo del nivel nacional, departamental y municipal, el respectivo Gobierno deberá hacer público en los portales web institucionales los programas y proyectos que se pretendan ejecutar. Además, deberán publicarse las modificaciones o adiciones a su articulado presentadas en el trámite de la construcción de dichos planes plurianuales y los congresistas, diputados y/o concejales autores de las mismas.  </w:t>
      </w:r>
    </w:p>
    <w:p w14:paraId="0A90CCD6"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Los gobiernos nacionales, departamentales, distritales y municipales realizarán audiencias públicas para que la ciudadanía pueda conocer los proyectos de inversión en el marco de los planes plurianuales y puedan presentar propuestas de priorización de las respectivas inversiones. Para el caso del Gobierno Nacional estas audiencias deberán realizarse por departamentos, en los Gobiernos Departamentales deberán adelantarse en sus respectivos municipios y en los gobiernos distritales o municipales se realizarán, según el caso, por localidades, comunas o barrios. </w:t>
      </w:r>
    </w:p>
    <w:p w14:paraId="700EE78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Igualmente, antes de finalizar cada año del período constitucional, el Presidente de la República, los gobernadores y los alcaldes distritales y municipales, presentarán a la respectiva corporación pública de elección popular, un informe de cumplimiento de metas del Plan de Desarrollo y ejecución del presupuesto de inversión. </w:t>
      </w:r>
    </w:p>
    <w:p w14:paraId="06D46828"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Los gobiernos deberán poner a disposición de la ciudadanía el informe en la página web y demás canales digitales que para tal efecto disponga cada entidad. </w:t>
      </w:r>
    </w:p>
    <w:p w14:paraId="1DAC78D0"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El informe será debatido en plenaria dentro de los treinta (30) días siguientes de su radicación. Para ello, las organizaciones políticas declaradas en oposición y en independencia tendrán derecho a que se realice una sesión exclusiva en la respectiva corporación pública de elección popular para exponer sus posturas y argumentos frente a dicho informe. La presencia del gobierno será obligatoria. </w:t>
      </w:r>
    </w:p>
    <w:p w14:paraId="7CA37277"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Parágrafo.</w:t>
      </w:r>
      <w:r w:rsidRPr="00140071">
        <w:rPr>
          <w:rFonts w:ascii="Times New Roman" w:hAnsi="Times New Roman" w:cs="Times New Roman"/>
          <w:sz w:val="24"/>
          <w:szCs w:val="24"/>
          <w:lang w:val="es-ES_tradnl"/>
        </w:rPr>
        <w:t xml:space="preserve"> Para el caso del gobierno nacional, en el informe deberá especificarse el cumplimiento de metas sobre el Plan de Desarrollo y el monto total de la inversión que se </w:t>
      </w:r>
      <w:r w:rsidRPr="00140071">
        <w:rPr>
          <w:rFonts w:ascii="Times New Roman" w:hAnsi="Times New Roman" w:cs="Times New Roman"/>
          <w:sz w:val="24"/>
          <w:szCs w:val="24"/>
          <w:lang w:val="es-ES_tradnl"/>
        </w:rPr>
        <w:lastRenderedPageBreak/>
        <w:t xml:space="preserve">realizó en cada departamento y región, la distribución sectorial de la inversión a nivel departamental, los programas que se implementaron en cada sector y la entidad competente de su ejecución. </w:t>
      </w:r>
    </w:p>
    <w:p w14:paraId="256B343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Para el caso de los departamentos, en el informe deberá especificarse el cumplimiento de metas sobre el Plan de Desarrollo y el monto total de la inversión que se realizó en cada municipio, la distribución sectorial de la inversión a nivel departamental, los programas que se implementaron en cada sector y la entidad competente de su ejecución. </w:t>
      </w:r>
    </w:p>
    <w:p w14:paraId="1CBE2A79"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Para el caso de los municipios y distritos, en el informe deberá especificarse el cumplimiento de metas sobre el Plan de Desarrollo y el monto total de la inversión que se realizó en el municipio, en los corregimientos, comunas o localidades, la distribución sectorial de la inversión, los programas que se implementaron en cada sector y la entidad competente de su ejecución. </w:t>
      </w:r>
    </w:p>
    <w:p w14:paraId="4670224C"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23. Derechos de oposición en las Juntas Administradoras Locales</w:t>
      </w:r>
      <w:r w:rsidRPr="00140071">
        <w:rPr>
          <w:rFonts w:ascii="Times New Roman" w:hAnsi="Times New Roman" w:cs="Times New Roman"/>
          <w:sz w:val="24"/>
          <w:szCs w:val="24"/>
          <w:lang w:val="es-ES_tradnl"/>
        </w:rPr>
        <w:t xml:space="preserve">. Las  organizaciones políticas declaradas en oposición a los gobiernos municipales y distritales, y con representación en las juntas administradoras locales, tendrán dentro de ellas los siguientes derechos: participación en la mesas directivas de plenarias, participación en la agenda de la corporación pública en los término de esta ley y a participar en las herramientas de comunicación de la corporación pública. </w:t>
      </w:r>
    </w:p>
    <w:p w14:paraId="56E09C3E" w14:textId="77777777" w:rsidR="002905F3" w:rsidRPr="00140071" w:rsidRDefault="002905F3" w:rsidP="002905F3">
      <w:pPr>
        <w:jc w:val="both"/>
        <w:textAlignment w:val="center"/>
        <w:rPr>
          <w:rFonts w:ascii="Times New Roman" w:hAnsi="Times New Roman" w:cs="Times New Roman"/>
          <w:bCs/>
          <w:color w:val="000000"/>
          <w:sz w:val="24"/>
          <w:szCs w:val="24"/>
          <w:lang w:val="es-ES_tradnl"/>
        </w:rPr>
      </w:pPr>
      <w:r w:rsidRPr="00140071">
        <w:rPr>
          <w:rFonts w:ascii="Times New Roman" w:hAnsi="Times New Roman" w:cs="Times New Roman"/>
          <w:b/>
          <w:bCs/>
          <w:color w:val="000000"/>
          <w:sz w:val="24"/>
          <w:szCs w:val="24"/>
          <w:lang w:val="es-ES_tradnl"/>
        </w:rPr>
        <w:t xml:space="preserve">Artículo 24. Curules en Senado y Cámara de Representantes. </w:t>
      </w:r>
      <w:r w:rsidRPr="00140071">
        <w:rPr>
          <w:rFonts w:ascii="Times New Roman" w:hAnsi="Times New Roman" w:cs="Times New Roman"/>
          <w:bCs/>
          <w:color w:val="000000"/>
          <w:sz w:val="24"/>
          <w:szCs w:val="24"/>
          <w:lang w:val="es-ES_tradnl"/>
        </w:rPr>
        <w:t>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e integrarán las comisiones primeras constitucionales de las respectivas cámaras. Terminados los escrutinios electorales, la autoridad electoral les expedirá las respectivas credenciales.</w:t>
      </w:r>
    </w:p>
    <w:p w14:paraId="01D6E02D" w14:textId="77777777" w:rsidR="002905F3" w:rsidRPr="00140071" w:rsidRDefault="002905F3" w:rsidP="002905F3">
      <w:pPr>
        <w:jc w:val="both"/>
        <w:textAlignment w:val="center"/>
        <w:rPr>
          <w:rFonts w:ascii="Times New Roman" w:hAnsi="Times New Roman" w:cs="Times New Roman"/>
          <w:bCs/>
          <w:color w:val="000000"/>
          <w:sz w:val="24"/>
          <w:szCs w:val="24"/>
          <w:lang w:val="es-ES_tradnl"/>
        </w:rPr>
      </w:pPr>
    </w:p>
    <w:p w14:paraId="2B62D62C" w14:textId="77777777" w:rsidR="002905F3" w:rsidRPr="00140071" w:rsidRDefault="002905F3" w:rsidP="002905F3">
      <w:pPr>
        <w:jc w:val="both"/>
        <w:textAlignment w:val="center"/>
        <w:rPr>
          <w:rFonts w:ascii="Times New Roman" w:hAnsi="Times New Roman" w:cs="Times New Roman"/>
          <w:bCs/>
          <w:color w:val="000000"/>
          <w:sz w:val="24"/>
          <w:szCs w:val="24"/>
          <w:lang w:val="es-ES_tradnl"/>
        </w:rPr>
      </w:pPr>
      <w:r w:rsidRPr="00140071">
        <w:rPr>
          <w:rFonts w:ascii="Times New Roman" w:hAnsi="Times New Roman" w:cs="Times New Roman"/>
          <w:bCs/>
          <w:color w:val="000000"/>
          <w:sz w:val="24"/>
          <w:szCs w:val="24"/>
          <w:lang w:val="es-ES_tradnl"/>
        </w:rPr>
        <w:t xml:space="preserve">Quienes resultaren elegidos mediante esta fórmula, serán miembros adicionales de las actuales comisiones constitucionales permanentes del Senado de la República y de la Cámara de representantes y, con la organización política a que pertenezcan, podrán intervenir en las opciones previstas en el artículo 6º de esta ley y harán parte de bancada de la misma organización política. </w:t>
      </w:r>
    </w:p>
    <w:p w14:paraId="09BF15D4"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p>
    <w:p w14:paraId="02B52735" w14:textId="77777777" w:rsidR="002905F3" w:rsidRPr="00140071" w:rsidRDefault="002905F3" w:rsidP="002905F3">
      <w:pPr>
        <w:jc w:val="both"/>
        <w:textAlignment w:val="center"/>
        <w:rPr>
          <w:rFonts w:ascii="Times New Roman" w:hAnsi="Times New Roman" w:cs="Times New Roman"/>
          <w:bCs/>
          <w:color w:val="000000"/>
          <w:sz w:val="24"/>
          <w:szCs w:val="24"/>
          <w:lang w:val="es-ES_tradnl"/>
        </w:rPr>
      </w:pPr>
      <w:r w:rsidRPr="00140071">
        <w:rPr>
          <w:rFonts w:ascii="Times New Roman" w:hAnsi="Times New Roman" w:cs="Times New Roman"/>
          <w:b/>
          <w:bCs/>
          <w:color w:val="000000"/>
          <w:sz w:val="24"/>
          <w:szCs w:val="24"/>
          <w:lang w:val="es-ES_tradnl"/>
        </w:rPr>
        <w:t xml:space="preserve">Artículo 25. Curules en las corporaciones públicas de elección popular de las entidades territoriales. </w:t>
      </w:r>
      <w:r w:rsidRPr="00140071">
        <w:rPr>
          <w:rFonts w:ascii="Times New Roman" w:hAnsi="Times New Roman" w:cs="Times New Roman"/>
          <w:bCs/>
          <w:color w:val="000000"/>
          <w:sz w:val="24"/>
          <w:szCs w:val="24"/>
          <w:lang w:val="es-ES_tradnl"/>
        </w:rPr>
        <w:t xml:space="preserve">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w:t>
      </w:r>
      <w:r w:rsidRPr="00140071">
        <w:rPr>
          <w:rFonts w:ascii="Times New Roman" w:hAnsi="Times New Roman" w:cs="Times New Roman"/>
          <w:bCs/>
          <w:color w:val="000000"/>
          <w:sz w:val="24"/>
          <w:szCs w:val="24"/>
          <w:lang w:val="es-ES_tradnl"/>
        </w:rPr>
        <w:lastRenderedPageBreak/>
        <w:t>intervenir en las opciones previstas en el artículo 7º de esta ley y harán parte de la misma organización política.</w:t>
      </w:r>
    </w:p>
    <w:p w14:paraId="7AADD0C6" w14:textId="77777777" w:rsidR="002905F3" w:rsidRPr="00140071" w:rsidRDefault="002905F3" w:rsidP="002905F3">
      <w:pPr>
        <w:jc w:val="both"/>
        <w:textAlignment w:val="center"/>
        <w:rPr>
          <w:rFonts w:ascii="Times New Roman" w:hAnsi="Times New Roman" w:cs="Times New Roman"/>
          <w:bCs/>
          <w:color w:val="000000"/>
          <w:sz w:val="24"/>
          <w:szCs w:val="24"/>
          <w:lang w:val="es-ES_tradnl"/>
        </w:rPr>
      </w:pPr>
    </w:p>
    <w:p w14:paraId="792F48CB"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escrito ante la comisión escrutadora competente, su decisión de aceptar o no una curul en las Asambleas Departamentales y Concejos Distritales y Municipales. </w:t>
      </w:r>
    </w:p>
    <w:p w14:paraId="2608973F" w14:textId="77777777" w:rsidR="002905F3" w:rsidRPr="00140071" w:rsidRDefault="002905F3" w:rsidP="002905F3">
      <w:pPr>
        <w:jc w:val="both"/>
        <w:textAlignment w:val="center"/>
        <w:rPr>
          <w:rFonts w:ascii="Times New Roman" w:hAnsi="Times New Roman" w:cs="Times New Roman"/>
          <w:bCs/>
          <w:color w:val="000000"/>
          <w:sz w:val="24"/>
          <w:szCs w:val="24"/>
          <w:lang w:val="es-ES_tradnl"/>
        </w:rPr>
      </w:pPr>
      <w:r w:rsidRPr="00140071">
        <w:rPr>
          <w:rFonts w:ascii="Times New Roman" w:hAnsi="Times New Roman" w:cs="Times New Roman"/>
          <w:bCs/>
          <w:color w:val="000000"/>
          <w:sz w:val="24"/>
          <w:szCs w:val="24"/>
          <w:lang w:val="es-ES_tradnl"/>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y aplicará la regla general prevista en el artículo 263 de la Constitución para la distribución de las curules restantes de Asambleas Departamentales y Concejos Distritales y Municipales. </w:t>
      </w:r>
    </w:p>
    <w:p w14:paraId="329F1D56" w14:textId="77777777" w:rsidR="002905F3" w:rsidRPr="00140071" w:rsidRDefault="002905F3" w:rsidP="002905F3">
      <w:pPr>
        <w:jc w:val="both"/>
        <w:textAlignment w:val="center"/>
        <w:rPr>
          <w:rFonts w:ascii="Times New Roman" w:hAnsi="Times New Roman" w:cs="Times New Roman"/>
          <w:bCs/>
          <w:color w:val="000000"/>
          <w:sz w:val="24"/>
          <w:szCs w:val="24"/>
          <w:lang w:val="es-ES_tradnl"/>
        </w:rPr>
      </w:pPr>
    </w:p>
    <w:p w14:paraId="1D3530BB"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Cs/>
          <w:color w:val="000000"/>
          <w:sz w:val="24"/>
          <w:szCs w:val="24"/>
          <w:lang w:val="es-ES_tradnl"/>
        </w:rPr>
        <w:t xml:space="preserve">Si no hay aceptación de la curul se aplicará la regla general prevista en el artículo 263 de la Constitución política para la distribución de todas las curules de Asambleas Departamentales y Concejos Distritales y Municipales por población.    </w:t>
      </w:r>
    </w:p>
    <w:p w14:paraId="1C9B2A29"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CAPÍTULO III </w:t>
      </w:r>
    </w:p>
    <w:p w14:paraId="07AD3187"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De las Organizaciones Políticas Independientes</w:t>
      </w:r>
    </w:p>
    <w:p w14:paraId="1A51B839"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b/>
          <w:sz w:val="24"/>
          <w:szCs w:val="24"/>
          <w:lang w:val="es-ES_tradnl"/>
        </w:rPr>
      </w:pPr>
    </w:p>
    <w:p w14:paraId="4C1534A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26. Organizaciones Políticas Independientes.</w:t>
      </w:r>
      <w:r w:rsidRPr="00140071">
        <w:rPr>
          <w:rFonts w:ascii="Times New Roman" w:hAnsi="Times New Roman" w:cs="Times New Roman"/>
          <w:sz w:val="24"/>
          <w:szCs w:val="24"/>
          <w:lang w:val="es-ES_tradnl"/>
        </w:rPr>
        <w:t xml:space="preserve"> Las organizaciones políticas que cuentan con representación en las corporaciones públicas de elección popular, que no hacen parte del gobierno, ni de la oposición, deberán declararse como independientes. Sin perjuicio de los que le asisten a toda organización política, tendrán los siguientes derechos: </w:t>
      </w:r>
    </w:p>
    <w:p w14:paraId="6492C61C" w14:textId="77777777" w:rsidR="002905F3" w:rsidRPr="00140071" w:rsidRDefault="002905F3" w:rsidP="002905F3">
      <w:pPr>
        <w:pStyle w:val="Prrafodelista"/>
        <w:widowControl w:val="0"/>
        <w:numPr>
          <w:ilvl w:val="0"/>
          <w:numId w:val="3"/>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Participar en las herramientas de comunicación de las corporaciones públicas de elección popular.  </w:t>
      </w:r>
    </w:p>
    <w:p w14:paraId="6DC70446" w14:textId="473E5E91" w:rsidR="002905F3" w:rsidRDefault="002905F3" w:rsidP="002905F3">
      <w:pPr>
        <w:pStyle w:val="Prrafodelista"/>
        <w:widowControl w:val="0"/>
        <w:numPr>
          <w:ilvl w:val="0"/>
          <w:numId w:val="3"/>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Postular los candidatos a las mesas directivas de los cuerpos colegiados previstos en este Estatuto, en ausencia de organizaciones políticas declaradas en oposición, o de postulaciones realizadas por éstas últimas.  </w:t>
      </w:r>
    </w:p>
    <w:p w14:paraId="3EBEC395" w14:textId="3761FBFA" w:rsidR="00592AD1" w:rsidRDefault="00592AD1" w:rsidP="00592AD1">
      <w:pPr>
        <w:pStyle w:val="Prrafodelista"/>
        <w:widowControl w:val="0"/>
        <w:tabs>
          <w:tab w:val="left" w:pos="220"/>
          <w:tab w:val="left" w:pos="720"/>
        </w:tabs>
        <w:autoSpaceDE w:val="0"/>
        <w:autoSpaceDN w:val="0"/>
        <w:adjustRightInd w:val="0"/>
        <w:spacing w:after="293"/>
        <w:jc w:val="both"/>
        <w:rPr>
          <w:rFonts w:ascii="Times New Roman" w:hAnsi="Times New Roman" w:cs="Times New Roman"/>
          <w:lang w:val="es-ES_tradnl"/>
        </w:rPr>
      </w:pPr>
    </w:p>
    <w:p w14:paraId="450C7F49" w14:textId="0B7BE8B7" w:rsidR="00592AD1" w:rsidRDefault="00592AD1" w:rsidP="00592AD1">
      <w:pPr>
        <w:pStyle w:val="Prrafodelista"/>
        <w:widowControl w:val="0"/>
        <w:tabs>
          <w:tab w:val="left" w:pos="220"/>
          <w:tab w:val="left" w:pos="720"/>
        </w:tabs>
        <w:autoSpaceDE w:val="0"/>
        <w:autoSpaceDN w:val="0"/>
        <w:adjustRightInd w:val="0"/>
        <w:spacing w:after="293"/>
        <w:jc w:val="both"/>
        <w:rPr>
          <w:rFonts w:ascii="Times New Roman" w:hAnsi="Times New Roman" w:cs="Times New Roman"/>
          <w:lang w:val="es-ES_tradnl"/>
        </w:rPr>
      </w:pPr>
    </w:p>
    <w:p w14:paraId="2B9B7C1D" w14:textId="06F530E4" w:rsidR="00592AD1" w:rsidRDefault="00592AD1" w:rsidP="00592AD1">
      <w:pPr>
        <w:pStyle w:val="Prrafodelista"/>
        <w:widowControl w:val="0"/>
        <w:tabs>
          <w:tab w:val="left" w:pos="220"/>
          <w:tab w:val="left" w:pos="720"/>
        </w:tabs>
        <w:autoSpaceDE w:val="0"/>
        <w:autoSpaceDN w:val="0"/>
        <w:adjustRightInd w:val="0"/>
        <w:spacing w:after="293"/>
        <w:jc w:val="both"/>
        <w:rPr>
          <w:rFonts w:ascii="Times New Roman" w:hAnsi="Times New Roman" w:cs="Times New Roman"/>
          <w:lang w:val="es-ES_tradnl"/>
        </w:rPr>
      </w:pPr>
    </w:p>
    <w:p w14:paraId="076151D4" w14:textId="3B8CF1EE" w:rsidR="00592AD1" w:rsidRDefault="00592AD1" w:rsidP="00592AD1">
      <w:pPr>
        <w:pStyle w:val="Prrafodelista"/>
        <w:widowControl w:val="0"/>
        <w:tabs>
          <w:tab w:val="left" w:pos="220"/>
          <w:tab w:val="left" w:pos="720"/>
        </w:tabs>
        <w:autoSpaceDE w:val="0"/>
        <w:autoSpaceDN w:val="0"/>
        <w:adjustRightInd w:val="0"/>
        <w:spacing w:after="293"/>
        <w:jc w:val="both"/>
        <w:rPr>
          <w:rFonts w:ascii="Times New Roman" w:hAnsi="Times New Roman" w:cs="Times New Roman"/>
          <w:lang w:val="es-ES_tradnl"/>
        </w:rPr>
      </w:pPr>
    </w:p>
    <w:p w14:paraId="292A0EFB" w14:textId="4D8D6CA7" w:rsidR="00592AD1" w:rsidRDefault="00592AD1" w:rsidP="00592AD1">
      <w:pPr>
        <w:pStyle w:val="Prrafodelista"/>
        <w:widowControl w:val="0"/>
        <w:tabs>
          <w:tab w:val="left" w:pos="220"/>
          <w:tab w:val="left" w:pos="720"/>
        </w:tabs>
        <w:autoSpaceDE w:val="0"/>
        <w:autoSpaceDN w:val="0"/>
        <w:adjustRightInd w:val="0"/>
        <w:spacing w:after="293"/>
        <w:jc w:val="both"/>
        <w:rPr>
          <w:rFonts w:ascii="Times New Roman" w:hAnsi="Times New Roman" w:cs="Times New Roman"/>
          <w:lang w:val="es-ES_tradnl"/>
        </w:rPr>
      </w:pPr>
    </w:p>
    <w:p w14:paraId="458E28B8" w14:textId="77777777" w:rsidR="00592AD1" w:rsidRPr="00140071" w:rsidRDefault="00592AD1" w:rsidP="00592AD1">
      <w:pPr>
        <w:pStyle w:val="Prrafodelista"/>
        <w:widowControl w:val="0"/>
        <w:tabs>
          <w:tab w:val="left" w:pos="220"/>
          <w:tab w:val="left" w:pos="720"/>
        </w:tabs>
        <w:autoSpaceDE w:val="0"/>
        <w:autoSpaceDN w:val="0"/>
        <w:adjustRightInd w:val="0"/>
        <w:spacing w:after="293"/>
        <w:jc w:val="both"/>
        <w:rPr>
          <w:rFonts w:ascii="Times New Roman" w:hAnsi="Times New Roman" w:cs="Times New Roman"/>
          <w:lang w:val="es-ES_tradnl"/>
        </w:rPr>
      </w:pPr>
    </w:p>
    <w:p w14:paraId="06FBE50C" w14:textId="507B03FA" w:rsidR="002905F3" w:rsidRPr="00140071" w:rsidRDefault="002905F3" w:rsidP="002905F3">
      <w:pPr>
        <w:pStyle w:val="Prrafodelista"/>
        <w:widowControl w:val="0"/>
        <w:numPr>
          <w:ilvl w:val="0"/>
          <w:numId w:val="3"/>
        </w:numPr>
        <w:tabs>
          <w:tab w:val="left" w:pos="220"/>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lastRenderedPageBreak/>
        <w:t xml:space="preserve">Para la selección de los miembros de la Cámara de Representantes en la Comisión Asesora de Relaciones Exteriores se elegirá al menos un principal y un suplente de las organizaciones políticas declaradas como independientes y con representación en dicha cámara, de los cuales uno será mujer. Los candidatos solo podrán ser postulados por dichas organizaciones. </w:t>
      </w:r>
    </w:p>
    <w:p w14:paraId="088EBB54"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Si la organización modifica su declaración política, las corporaciones públicas de elección popular elegirán nuevo miembro de la mesa directiva y se remplazará la participación en la Comisión Asesora de Relaciones Exteriores, en caso de ser procedente. </w:t>
      </w:r>
    </w:p>
    <w:p w14:paraId="66B5414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27 Protección a la declaración de independencia.</w:t>
      </w:r>
      <w:r w:rsidRPr="00140071">
        <w:rPr>
          <w:rFonts w:ascii="Times New Roman" w:hAnsi="Times New Roman" w:cs="Times New Roman"/>
          <w:sz w:val="24"/>
          <w:szCs w:val="24"/>
          <w:lang w:val="es-ES_tradnl"/>
        </w:rPr>
        <w:t xml:space="preserve"> No podrán ser designados en cargos de autoridad política, civil o administrativa en el gobierno, ni dentro de los doce (12) meses siguientes a su retiro de la organización política, mientras se mantenga la declaración de independencia: </w:t>
      </w:r>
    </w:p>
    <w:p w14:paraId="52974B97" w14:textId="1A546B1C" w:rsidR="002905F3" w:rsidRPr="00140071" w:rsidRDefault="002905F3" w:rsidP="002905F3">
      <w:pPr>
        <w:widowControl w:val="0"/>
        <w:numPr>
          <w:ilvl w:val="0"/>
          <w:numId w:val="4"/>
        </w:numPr>
        <w:tabs>
          <w:tab w:val="left" w:pos="220"/>
          <w:tab w:val="left" w:pos="720"/>
        </w:tabs>
        <w:autoSpaceDE w:val="0"/>
        <w:autoSpaceDN w:val="0"/>
        <w:adjustRightInd w:val="0"/>
        <w:spacing w:after="293" w:line="240" w:lineRule="auto"/>
        <w:ind w:hanging="294"/>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Quienes sean o hayan sido integrantes de los órganos de dirección, gobierno, control y administración de las organizaciones políticas declaradas en independencia, tanto de los niveles nacional, departamentales, distritales y municipales. </w:t>
      </w:r>
    </w:p>
    <w:p w14:paraId="113BBC2C" w14:textId="68F66B30" w:rsidR="002905F3" w:rsidRDefault="002905F3" w:rsidP="002905F3">
      <w:pPr>
        <w:widowControl w:val="0"/>
        <w:numPr>
          <w:ilvl w:val="0"/>
          <w:numId w:val="4"/>
        </w:numPr>
        <w:tabs>
          <w:tab w:val="left" w:pos="220"/>
          <w:tab w:val="left" w:pos="720"/>
        </w:tabs>
        <w:autoSpaceDE w:val="0"/>
        <w:autoSpaceDN w:val="0"/>
        <w:adjustRightInd w:val="0"/>
        <w:spacing w:after="293" w:line="240" w:lineRule="auto"/>
        <w:ind w:hanging="436"/>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Quienes hayan sido candidatos a cargo de elección popular avalados por ellos, elegidos o no. </w:t>
      </w:r>
    </w:p>
    <w:p w14:paraId="3BAE8F12" w14:textId="77777777" w:rsidR="002905F3" w:rsidRPr="00592AD1" w:rsidRDefault="002905F3" w:rsidP="002905F3">
      <w:pPr>
        <w:widowControl w:val="0"/>
        <w:tabs>
          <w:tab w:val="left" w:pos="220"/>
          <w:tab w:val="left" w:pos="720"/>
        </w:tabs>
        <w:autoSpaceDE w:val="0"/>
        <w:autoSpaceDN w:val="0"/>
        <w:adjustRightInd w:val="0"/>
        <w:spacing w:after="293" w:line="240" w:lineRule="auto"/>
        <w:ind w:left="284"/>
        <w:jc w:val="both"/>
        <w:rPr>
          <w:rFonts w:ascii="Times New Roman" w:hAnsi="Times New Roman" w:cs="Times New Roman"/>
          <w:color w:val="FFFFFF" w:themeColor="background1"/>
          <w:sz w:val="24"/>
          <w:szCs w:val="24"/>
          <w:lang w:val="es-ES_tradnl"/>
        </w:rPr>
      </w:pPr>
      <w:r w:rsidRPr="00592AD1">
        <w:rPr>
          <w:rFonts w:ascii="Times New Roman" w:eastAsia="Times New Roman" w:hAnsi="Times New Roman" w:cs="Times New Roman"/>
          <w:color w:val="FFFFFF" w:themeColor="background1"/>
          <w:sz w:val="24"/>
          <w:szCs w:val="24"/>
        </w:rPr>
        <w:t>Los afiliados a estas organizaciones, distintos a los mencionados, que acepten estos cargos podrán ser sancionados de conformidad con sus estatutos y demás normas internas</w:t>
      </w:r>
      <w:r w:rsidRPr="00592AD1">
        <w:rPr>
          <w:rFonts w:ascii="Times New Roman" w:eastAsia="Times New Roman" w:hAnsi="Times New Roman" w:cs="Times New Roman"/>
          <w:color w:val="FFFFFF" w:themeColor="background1"/>
        </w:rPr>
        <w:t>.</w:t>
      </w:r>
    </w:p>
    <w:p w14:paraId="32B36A06" w14:textId="475FBC89"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CAPÍTULO IV</w:t>
      </w:r>
    </w:p>
    <w:p w14:paraId="27F742C5"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De los mecanismos de protección de los derechos de la oposición</w:t>
      </w:r>
    </w:p>
    <w:p w14:paraId="53C94A3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b/>
          <w:sz w:val="24"/>
          <w:szCs w:val="24"/>
          <w:lang w:val="es-ES_tradnl"/>
        </w:rPr>
      </w:pPr>
    </w:p>
    <w:p w14:paraId="6C3036B4"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28. Acción de Protección de los Derechos de Oposición.</w:t>
      </w:r>
      <w:r w:rsidRPr="00140071">
        <w:rPr>
          <w:rFonts w:ascii="Times New Roman" w:hAnsi="Times New Roman" w:cs="Times New Roman"/>
          <w:sz w:val="24"/>
          <w:szCs w:val="24"/>
          <w:lang w:val="es-ES_tradnl"/>
        </w:rPr>
        <w:t xml:space="preserve"> Para la protección de los derechos que se consagran en esta ley, las organizaciones políticas que se declaren en oposición tendrán una acción de carácter especial ante la Autoridad Electoral, con las siguientes características: </w:t>
      </w:r>
    </w:p>
    <w:p w14:paraId="10AF8FBB"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Se instaurará dentro de un término que permita establecer una relación de inmediatez, oportuna y razonable, con los hechos que vulneran el derecho respectivo.  </w:t>
      </w:r>
    </w:p>
    <w:p w14:paraId="3A29A19F" w14:textId="339DCA1E" w:rsidR="002905F3"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La solicitud será suscrita por el representante de la respectiva organización</w:t>
      </w:r>
      <w:r w:rsidRPr="00140071" w:rsidDel="00515B68">
        <w:rPr>
          <w:rFonts w:ascii="Times New Roman" w:hAnsi="Times New Roman" w:cs="Times New Roman"/>
          <w:sz w:val="24"/>
          <w:szCs w:val="24"/>
          <w:lang w:val="es-ES_tradnl"/>
        </w:rPr>
        <w:t xml:space="preserve"> </w:t>
      </w:r>
      <w:r w:rsidRPr="00140071">
        <w:rPr>
          <w:rFonts w:ascii="Times New Roman" w:hAnsi="Times New Roman" w:cs="Times New Roman"/>
          <w:sz w:val="24"/>
          <w:szCs w:val="24"/>
          <w:lang w:val="es-ES_tradnl"/>
        </w:rPr>
        <w:t xml:space="preserve">política en el que se indicará contra quien se dirige, la conducta objeto de reproche, los hechos, las pruebas y fundamentos de derecho que la sustentan y la medida que, a su juicio, debe tomar la Autoridad Electoral para proteger el derecho. </w:t>
      </w:r>
    </w:p>
    <w:p w14:paraId="6348551F" w14:textId="77777777" w:rsidR="00592AD1" w:rsidRPr="00140071" w:rsidRDefault="00592AD1" w:rsidP="00592AD1">
      <w:pPr>
        <w:widowControl w:val="0"/>
        <w:tabs>
          <w:tab w:val="left" w:pos="220"/>
          <w:tab w:val="left" w:pos="720"/>
        </w:tabs>
        <w:autoSpaceDE w:val="0"/>
        <w:autoSpaceDN w:val="0"/>
        <w:adjustRightInd w:val="0"/>
        <w:spacing w:after="293" w:line="240" w:lineRule="auto"/>
        <w:ind w:left="720"/>
        <w:jc w:val="both"/>
        <w:rPr>
          <w:rFonts w:ascii="Times New Roman" w:hAnsi="Times New Roman" w:cs="Times New Roman"/>
          <w:sz w:val="24"/>
          <w:szCs w:val="24"/>
          <w:lang w:val="es-ES_tradnl"/>
        </w:rPr>
      </w:pPr>
    </w:p>
    <w:p w14:paraId="6A2A1C70"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lastRenderedPageBreak/>
        <w:t>La Autoridad Electoral someterá a reparto la solicitud en las veinticuatro (24) horas siguientes a su recibo. El inicio de la actuación administrativa será comunicado a las partes.  </w:t>
      </w:r>
    </w:p>
    <w:p w14:paraId="6C91E00F"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El ponente podrá convocar a las partes a audiencia para asegurar el derecho de contradicción y contribuir a la pronta adopción de la decisión, la que podrá notificarse en estrados, caso en el cual el recurso deberá interponerse y sustentarse inmediatamente. La audiencia podrá suspenderse y reiniciarse en caso de ser necesario.  </w:t>
      </w:r>
    </w:p>
    <w:p w14:paraId="334D8474"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En caso en que no se convoque a dicha audiencia, el accionado podrá ejercer su derecho de defensa por escrito dentro de las cuarenta y ocho (48) horas siguientes a la comunicación del inicio de la actuación.  </w:t>
      </w:r>
    </w:p>
    <w:p w14:paraId="3FDF2A49"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Tratándose del derecho de réplica la audiencia será obligatoria y deberá realizarse dentro de las setenta y dos (72) horas siguientes al reparto de la solicitud. La decisión se notificará en estrados.  </w:t>
      </w:r>
    </w:p>
    <w:p w14:paraId="6F660BAE"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La Autoridad Electoral está facultada para tomar todas las medidas necesarias para el restablecimiento del derecho vulnerado, incluida la adopción de medidas cautelares.  </w:t>
      </w:r>
    </w:p>
    <w:p w14:paraId="38DB1842"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Si se protege el derecho, se ordenará su cumplimiento dentro de los cuarenta y ocho (48) horas siguientes.  </w:t>
      </w:r>
    </w:p>
    <w:p w14:paraId="483E742B" w14:textId="77777777" w:rsidR="002905F3" w:rsidRPr="00140071" w:rsidRDefault="002905F3" w:rsidP="002905F3">
      <w:pPr>
        <w:widowControl w:val="0"/>
        <w:numPr>
          <w:ilvl w:val="0"/>
          <w:numId w:val="5"/>
        </w:numPr>
        <w:tabs>
          <w:tab w:val="left" w:pos="220"/>
          <w:tab w:val="left" w:pos="720"/>
        </w:tabs>
        <w:autoSpaceDE w:val="0"/>
        <w:autoSpaceDN w:val="0"/>
        <w:adjustRightInd w:val="0"/>
        <w:spacing w:after="293" w:line="240" w:lineRule="auto"/>
        <w:ind w:hanging="578"/>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La Autoridad Electoral sancionará a toda persona natural o jurídica, o entidad pública, que incumpla las órdenes emitidas, con multas entre diez (10) y mil (1000) salarios mínimos legales mensuales vigentes.  </w:t>
      </w:r>
    </w:p>
    <w:p w14:paraId="1EFB677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 xml:space="preserve">Artículo 29. Protección  de la declaratoria de oposición. </w:t>
      </w:r>
      <w:r w:rsidRPr="00140071">
        <w:rPr>
          <w:rFonts w:ascii="Times New Roman" w:hAnsi="Times New Roman" w:cs="Times New Roman"/>
          <w:sz w:val="24"/>
          <w:szCs w:val="24"/>
          <w:lang w:val="es-ES_tradnl"/>
        </w:rPr>
        <w:t xml:space="preserve">No podrán ser designados en cargos de autoridad política, civil o administrativa en el gobierno, ni dentro de los doce (12) meses siguientes a su retiro de la organización política, mientras se mantenga la declaración de oposición: </w:t>
      </w:r>
    </w:p>
    <w:p w14:paraId="2DBC4161" w14:textId="77777777" w:rsidR="002905F3" w:rsidRPr="00140071" w:rsidRDefault="002905F3" w:rsidP="002905F3">
      <w:pPr>
        <w:pStyle w:val="Prrafodelista"/>
        <w:widowControl w:val="0"/>
        <w:numPr>
          <w:ilvl w:val="0"/>
          <w:numId w:val="6"/>
        </w:numPr>
        <w:tabs>
          <w:tab w:val="left" w:pos="567"/>
          <w:tab w:val="left" w:pos="720"/>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Quienes sean o hayan sido integrantes de los órganos de dirección, gobierno, control y administración de las organizaciones políticas declaradas en oposición, tanto de los niveles nacional, departamentales, distritales y municipales.  </w:t>
      </w:r>
    </w:p>
    <w:p w14:paraId="2A24EC39" w14:textId="77777777" w:rsidR="002905F3" w:rsidRPr="00140071" w:rsidRDefault="002905F3" w:rsidP="002905F3">
      <w:pPr>
        <w:pStyle w:val="Prrafodelista"/>
        <w:widowControl w:val="0"/>
        <w:tabs>
          <w:tab w:val="left" w:pos="567"/>
          <w:tab w:val="left" w:pos="720"/>
        </w:tabs>
        <w:autoSpaceDE w:val="0"/>
        <w:autoSpaceDN w:val="0"/>
        <w:adjustRightInd w:val="0"/>
        <w:spacing w:after="293"/>
        <w:ind w:left="502"/>
        <w:jc w:val="both"/>
        <w:rPr>
          <w:rFonts w:ascii="Times New Roman" w:hAnsi="Times New Roman" w:cs="Times New Roman"/>
          <w:lang w:val="es-ES_tradnl"/>
        </w:rPr>
      </w:pPr>
    </w:p>
    <w:p w14:paraId="65871335" w14:textId="77777777" w:rsidR="002905F3" w:rsidRPr="00140071" w:rsidRDefault="002905F3" w:rsidP="002905F3">
      <w:pPr>
        <w:pStyle w:val="Prrafodelista"/>
        <w:widowControl w:val="0"/>
        <w:numPr>
          <w:ilvl w:val="0"/>
          <w:numId w:val="6"/>
        </w:numPr>
        <w:tabs>
          <w:tab w:val="left" w:pos="220"/>
          <w:tab w:val="left" w:pos="709"/>
        </w:tabs>
        <w:autoSpaceDE w:val="0"/>
        <w:autoSpaceDN w:val="0"/>
        <w:adjustRightInd w:val="0"/>
        <w:spacing w:after="293"/>
        <w:jc w:val="both"/>
        <w:rPr>
          <w:rFonts w:ascii="Times New Roman" w:hAnsi="Times New Roman" w:cs="Times New Roman"/>
          <w:lang w:val="es-ES_tradnl"/>
        </w:rPr>
      </w:pPr>
      <w:r w:rsidRPr="00140071">
        <w:rPr>
          <w:rFonts w:ascii="Times New Roman" w:hAnsi="Times New Roman" w:cs="Times New Roman"/>
          <w:lang w:val="es-ES_tradnl"/>
        </w:rPr>
        <w:t>Quienes hayan sido candidatos a cargo de elección popular avalados por ellos, elegidos o no.  </w:t>
      </w:r>
    </w:p>
    <w:p w14:paraId="09F8C38E"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30. Procuraduría delegada para la protección de los derechos políticos y de la oposición.</w:t>
      </w:r>
      <w:r w:rsidRPr="00140071">
        <w:rPr>
          <w:rFonts w:ascii="Times New Roman" w:hAnsi="Times New Roman" w:cs="Times New Roman"/>
          <w:sz w:val="24"/>
          <w:szCs w:val="24"/>
          <w:lang w:val="es-ES_tradnl"/>
        </w:rPr>
        <w:t xml:space="preserve"> La Procuraduría General de la Nación contará con una Procuraduría Delegada para la protección de los derechos políticos y de la oposición</w:t>
      </w:r>
      <w:r w:rsidRPr="00140071" w:rsidDel="00647073">
        <w:rPr>
          <w:rFonts w:ascii="Times New Roman" w:hAnsi="Times New Roman" w:cs="Times New Roman"/>
          <w:sz w:val="24"/>
          <w:szCs w:val="24"/>
          <w:lang w:val="es-ES_tradnl"/>
        </w:rPr>
        <w:t xml:space="preserve"> </w:t>
      </w:r>
      <w:r w:rsidRPr="00140071">
        <w:rPr>
          <w:rFonts w:ascii="Times New Roman" w:hAnsi="Times New Roman" w:cs="Times New Roman"/>
          <w:sz w:val="24"/>
          <w:szCs w:val="24"/>
          <w:lang w:val="es-ES_tradnl"/>
        </w:rPr>
        <w:t xml:space="preserve">en la forma que este organismo lo determine. </w:t>
      </w:r>
    </w:p>
    <w:p w14:paraId="2772D642"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lastRenderedPageBreak/>
        <w:t xml:space="preserve">En el mes de marzo de cada año, el Procurador General presentará un informe a cada una de las cámaras del Congreso de la República sobre el grado de observancia de los derechos contemplados en este Estatuto, el cual deberá incorporarse al orden del día para su debate, a más tardar dentro de los quince (15) días siguientes al inicio de las sesiones ordinarias. </w:t>
      </w:r>
    </w:p>
    <w:p w14:paraId="7B927A3D"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El informe deberá contener un balance del ejercicio del derecho fundamental a la oposición en el nivel nacional, departamental y municipal así el nivel de cumplimiento de los derecho consagrados en el presente Estatuto.</w:t>
      </w:r>
    </w:p>
    <w:p w14:paraId="3D687550"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color w:val="000000"/>
          <w:sz w:val="24"/>
          <w:szCs w:val="24"/>
          <w:lang w:val="es-ES_tradnl"/>
        </w:rPr>
        <w:t>Parágrafo Transitorio</w:t>
      </w:r>
      <w:r w:rsidRPr="00140071">
        <w:rPr>
          <w:rFonts w:ascii="Times New Roman" w:hAnsi="Times New Roman" w:cs="Times New Roman"/>
          <w:color w:val="000000"/>
          <w:sz w:val="24"/>
          <w:szCs w:val="24"/>
          <w:lang w:val="es-ES_tradnl"/>
        </w:rPr>
        <w:t xml:space="preserve">. Para asegurar el correcto ejercicio de lo señalado en este artículo, concédase precisas facultades al Presidente de la República, por el término de seis (6) meses, para reformar la Procuraduría General de la Nación en los aspectos estrictamente necesarios para la entrada en funcionamiento de la Procuraduría Delegada para la protección de los derechos políticos y de la oposición.  </w:t>
      </w:r>
    </w:p>
    <w:p w14:paraId="6B696157"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31. Seguridad para los miembros de las organizaciones políticas que se declaren en oposición.</w:t>
      </w:r>
      <w:r w:rsidRPr="00140071">
        <w:rPr>
          <w:rFonts w:ascii="Times New Roman" w:hAnsi="Times New Roman" w:cs="Times New Roman"/>
          <w:sz w:val="24"/>
          <w:szCs w:val="24"/>
          <w:lang w:val="es-ES_tradnl"/>
        </w:rPr>
        <w:t xml:space="preserve"> En el marco del Sistema Integral de Seguridad para el Ejercicio de la Política, el Gobierno Nacional estructurará programas de protección y seguridad con enfoque diferencial y de género para los directivos y miembros de las organizaciones políticas declaradas en oposición. </w:t>
      </w:r>
    </w:p>
    <w:p w14:paraId="44C83A4B"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Parágrafo.</w:t>
      </w:r>
      <w:r w:rsidRPr="00140071">
        <w:rPr>
          <w:rFonts w:ascii="Times New Roman" w:hAnsi="Times New Roman" w:cs="Times New Roman"/>
          <w:sz w:val="24"/>
          <w:szCs w:val="24"/>
          <w:lang w:val="es-ES_tradnl"/>
        </w:rPr>
        <w:t xml:space="preserve"> En cada periodo de sesiones ordinarias, el Procurador General de la Nación y el Defensor del Pueblo presentarán, respectivamente, un informe a cada una de las cámaras del Congreso de la República sobre el cumplimiento de los derechos  establecidos en este Estatuto y un balance sobre las garantías de seguridad en relación con los derechos a la vida e integridad personal de los miembros de las organizaciones políticas declaradas en oposición. Además se deberán analizar el cumplimiento de las medidas tendientes a garantizar la participación equilibrada entre hombres y mujeres.</w:t>
      </w:r>
    </w:p>
    <w:p w14:paraId="50713A78"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Dichos informes deberán ser sustentados por el Procurador General de la Nación y el Defensor del Pueblo  ante las Plenarias de cada una de las Cámaras para lo cual deberá fijarse fecha a más tardar dentro de los quince (15) días siguientes a su presentación.  En esa sesión, los congresistas podrán formular preguntas y observaciones  a los informes del Procurador General de la Nación y el Defensor del Pueblo, quienes deberán dar respuesta a las mismas de forma inmediata. </w:t>
      </w:r>
    </w:p>
    <w:p w14:paraId="22DCE4AA"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CAPÍTULO V</w:t>
      </w:r>
    </w:p>
    <w:p w14:paraId="0F3D03C9" w14:textId="77777777" w:rsidR="002905F3" w:rsidRPr="00140071" w:rsidRDefault="002905F3" w:rsidP="002905F3">
      <w:pPr>
        <w:widowControl w:val="0"/>
        <w:autoSpaceDE w:val="0"/>
        <w:autoSpaceDN w:val="0"/>
        <w:adjustRightInd w:val="0"/>
        <w:spacing w:after="240"/>
        <w:jc w:val="center"/>
        <w:rPr>
          <w:rFonts w:ascii="Times New Roman" w:hAnsi="Times New Roman" w:cs="Times New Roman"/>
          <w:b/>
          <w:sz w:val="24"/>
          <w:szCs w:val="24"/>
          <w:lang w:val="es-ES_tradnl"/>
        </w:rPr>
      </w:pPr>
      <w:r w:rsidRPr="00140071">
        <w:rPr>
          <w:rFonts w:ascii="Times New Roman" w:hAnsi="Times New Roman" w:cs="Times New Roman"/>
          <w:b/>
          <w:sz w:val="24"/>
          <w:szCs w:val="24"/>
          <w:lang w:val="es-ES_tradnl"/>
        </w:rPr>
        <w:t>Disposiciones Finales</w:t>
      </w:r>
    </w:p>
    <w:p w14:paraId="32C6E813"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32. Pérdida de derechos de la oposición</w:t>
      </w:r>
      <w:r w:rsidRPr="00140071">
        <w:rPr>
          <w:rFonts w:ascii="Times New Roman" w:hAnsi="Times New Roman" w:cs="Times New Roman"/>
          <w:sz w:val="24"/>
          <w:szCs w:val="24"/>
          <w:lang w:val="es-ES_tradnl"/>
        </w:rPr>
        <w:t xml:space="preserve">. Los derechos reconocidos en esta ley a las organizaciones políticas se mantendrán mientras esté vigente la declaración de oposición. En caso contrario se perderán. </w:t>
      </w:r>
    </w:p>
    <w:p w14:paraId="13C1E145"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sz w:val="24"/>
          <w:szCs w:val="24"/>
          <w:lang w:val="es-ES_tradnl"/>
        </w:rPr>
        <w:t xml:space="preserve">En consecuencia, la Autoridad Electoral cancelará el correspondiente registro como </w:t>
      </w:r>
      <w:r w:rsidRPr="00140071">
        <w:rPr>
          <w:rFonts w:ascii="Times New Roman" w:hAnsi="Times New Roman" w:cs="Times New Roman"/>
          <w:sz w:val="24"/>
          <w:szCs w:val="24"/>
          <w:lang w:val="es-ES_tradnl"/>
        </w:rPr>
        <w:lastRenderedPageBreak/>
        <w:t xml:space="preserve">organización política de oposición, </w:t>
      </w:r>
      <w:proofErr w:type="spellStart"/>
      <w:r w:rsidRPr="00140071">
        <w:rPr>
          <w:rFonts w:ascii="Times New Roman" w:hAnsi="Times New Roman" w:cs="Times New Roman"/>
          <w:sz w:val="24"/>
          <w:szCs w:val="24"/>
          <w:lang w:val="es-ES_tradnl"/>
        </w:rPr>
        <w:t>reliquidará</w:t>
      </w:r>
      <w:proofErr w:type="spellEnd"/>
      <w:r w:rsidRPr="00140071">
        <w:rPr>
          <w:rFonts w:ascii="Times New Roman" w:hAnsi="Times New Roman" w:cs="Times New Roman"/>
          <w:sz w:val="24"/>
          <w:szCs w:val="24"/>
          <w:lang w:val="es-ES_tradnl"/>
        </w:rPr>
        <w:t xml:space="preserve"> la financiación correspondiente y reasignará los espacios en radio y televisión. Las corporaciones públicas de elección popular elegirán nuevo miembro de la mesa directiva y se remplazará la participación en la Comisión Asesora de Relaciones Exteriores. </w:t>
      </w:r>
    </w:p>
    <w:p w14:paraId="0FEBC8AB" w14:textId="77777777" w:rsidR="002905F3" w:rsidRPr="00140071" w:rsidRDefault="002905F3" w:rsidP="002905F3">
      <w:pPr>
        <w:widowControl w:val="0"/>
        <w:autoSpaceDE w:val="0"/>
        <w:autoSpaceDN w:val="0"/>
        <w:adjustRightInd w:val="0"/>
        <w:spacing w:after="240"/>
        <w:jc w:val="both"/>
        <w:rPr>
          <w:rFonts w:ascii="Times New Roman" w:hAnsi="Times New Roman" w:cs="Times New Roman"/>
          <w:sz w:val="24"/>
          <w:szCs w:val="24"/>
          <w:lang w:val="es-ES_tradnl"/>
        </w:rPr>
      </w:pPr>
      <w:r w:rsidRPr="00140071">
        <w:rPr>
          <w:rFonts w:ascii="Times New Roman" w:hAnsi="Times New Roman" w:cs="Times New Roman"/>
          <w:b/>
          <w:sz w:val="24"/>
          <w:szCs w:val="24"/>
          <w:lang w:val="es-ES_tradnl"/>
        </w:rPr>
        <w:t>Artículo 33. Vigencia y derogaciones</w:t>
      </w:r>
      <w:r w:rsidRPr="00140071">
        <w:rPr>
          <w:rFonts w:ascii="Times New Roman" w:hAnsi="Times New Roman" w:cs="Times New Roman"/>
          <w:sz w:val="24"/>
          <w:szCs w:val="24"/>
          <w:lang w:val="es-ES_tradnl"/>
        </w:rPr>
        <w:t xml:space="preserve">. La presente ley rige a partir del veinte (20) de julio de 2018 y deroga todas las disposiciones que le sea contrarias, en especial los artículos 32 a 35 y 50 de la ley 130 de 1994. </w:t>
      </w:r>
    </w:p>
    <w:p w14:paraId="637E0F3A" w14:textId="77777777" w:rsidR="002905F3" w:rsidRDefault="002905F3" w:rsidP="002905F3">
      <w:pPr>
        <w:rPr>
          <w:rFonts w:ascii="Times New Roman" w:hAnsi="Times New Roman" w:cs="Times New Roman"/>
          <w:sz w:val="24"/>
          <w:szCs w:val="24"/>
          <w:lang w:val="es-ES_tradnl"/>
        </w:rPr>
      </w:pPr>
    </w:p>
    <w:p w14:paraId="761B0C5E" w14:textId="77777777" w:rsidR="002905F3" w:rsidRPr="009A7572" w:rsidRDefault="002905F3" w:rsidP="002905F3">
      <w:pPr>
        <w:rPr>
          <w:rFonts w:ascii="Times New Roman" w:hAnsi="Times New Roman" w:cs="Times New Roman"/>
          <w:sz w:val="24"/>
          <w:szCs w:val="24"/>
          <w:lang w:val="es-ES_tradnl"/>
        </w:rPr>
      </w:pPr>
      <w:r w:rsidRPr="00006E3A">
        <w:rPr>
          <w:rFonts w:ascii="Times New Roman" w:hAnsi="Times New Roman" w:cs="Times New Roman"/>
          <w:sz w:val="24"/>
          <w:szCs w:val="24"/>
          <w:lang w:val="es-ES_tradnl"/>
        </w:rPr>
        <w:t xml:space="preserve">De los honorables Congresistas, </w:t>
      </w:r>
    </w:p>
    <w:p w14:paraId="06B66C5C" w14:textId="77777777" w:rsidR="002905F3" w:rsidRDefault="002905F3" w:rsidP="002905F3">
      <w:pPr>
        <w:rPr>
          <w:rFonts w:ascii="Times New Roman" w:hAnsi="Times New Roman" w:cs="Times New Roman"/>
        </w:rPr>
      </w:pPr>
    </w:p>
    <w:p w14:paraId="5FAF2107" w14:textId="2D1AEFC1" w:rsidR="002905F3" w:rsidRPr="00006E3A" w:rsidRDefault="002905F3" w:rsidP="002905F3">
      <w:pPr>
        <w:pStyle w:val="Sinespaciado"/>
        <w:rPr>
          <w:rFonts w:ascii="Times New Roman" w:hAnsi="Times New Roman" w:cs="Times New Roman"/>
          <w:b/>
          <w:sz w:val="24"/>
          <w:szCs w:val="24"/>
        </w:rPr>
      </w:pP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p>
    <w:p w14:paraId="5C92E2DB" w14:textId="77777777" w:rsidR="002905F3" w:rsidRPr="00140071" w:rsidRDefault="002905F3" w:rsidP="002905F3">
      <w:pPr>
        <w:spacing w:after="0" w:line="240" w:lineRule="auto"/>
      </w:pPr>
    </w:p>
    <w:p w14:paraId="39C15EE5" w14:textId="77777777" w:rsidR="006F1A8E" w:rsidRPr="00006E3A" w:rsidRDefault="006F1A8E" w:rsidP="006F1A8E">
      <w:pPr>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4A62596C" w14:textId="77777777" w:rsidR="006F1A8E" w:rsidRPr="00006E3A" w:rsidRDefault="006F1A8E" w:rsidP="006F1A8E">
      <w:pPr>
        <w:pStyle w:val="Sinespaciado"/>
        <w:rPr>
          <w:rFonts w:ascii="Times New Roman" w:hAnsi="Times New Roman" w:cs="Times New Roman"/>
          <w:b/>
          <w:sz w:val="24"/>
          <w:szCs w:val="24"/>
        </w:rPr>
      </w:pPr>
      <w:r>
        <w:rPr>
          <w:rFonts w:ascii="Times New Roman" w:hAnsi="Times New Roman" w:cs="Times New Roman"/>
          <w:b/>
          <w:sz w:val="24"/>
          <w:szCs w:val="24"/>
        </w:rPr>
        <w:t>Roy Barreras Montealegre</w:t>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Pr>
          <w:rFonts w:ascii="Times New Roman" w:hAnsi="Times New Roman" w:cs="Times New Roman"/>
          <w:b/>
          <w:sz w:val="24"/>
          <w:szCs w:val="24"/>
        </w:rPr>
        <w:tab/>
        <w:t>Humphrey Roa Sarmiento</w:t>
      </w:r>
    </w:p>
    <w:p w14:paraId="3A0D6318" w14:textId="77777777" w:rsidR="006F1A8E" w:rsidRPr="00006E3A" w:rsidRDefault="006F1A8E" w:rsidP="006F1A8E">
      <w:pPr>
        <w:pStyle w:val="Sinespaciado"/>
        <w:rPr>
          <w:rFonts w:ascii="Times New Roman" w:hAnsi="Times New Roman" w:cs="Times New Roman"/>
          <w:b/>
          <w:sz w:val="24"/>
          <w:szCs w:val="24"/>
        </w:rPr>
      </w:pPr>
      <w:r w:rsidRPr="00006E3A">
        <w:rPr>
          <w:rFonts w:ascii="Times New Roman" w:hAnsi="Times New Roman" w:cs="Times New Roman"/>
          <w:b/>
          <w:sz w:val="24"/>
          <w:szCs w:val="24"/>
        </w:rPr>
        <w:t>Senador</w:t>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r>
      <w:r w:rsidRPr="00006E3A">
        <w:rPr>
          <w:rFonts w:ascii="Times New Roman" w:hAnsi="Times New Roman" w:cs="Times New Roman"/>
          <w:b/>
          <w:sz w:val="24"/>
          <w:szCs w:val="24"/>
        </w:rPr>
        <w:tab/>
        <w:t>Representante</w:t>
      </w:r>
    </w:p>
    <w:p w14:paraId="2E9F67E9" w14:textId="77777777" w:rsidR="006F1A8E" w:rsidRDefault="006F1A8E" w:rsidP="006F1A8E">
      <w:pPr>
        <w:spacing w:after="0" w:line="240" w:lineRule="auto"/>
      </w:pPr>
    </w:p>
    <w:p w14:paraId="34622778" w14:textId="77777777" w:rsidR="006F1A8E" w:rsidRDefault="006F1A8E" w:rsidP="006F1A8E">
      <w:pPr>
        <w:spacing w:after="0" w:line="240" w:lineRule="auto"/>
      </w:pPr>
    </w:p>
    <w:p w14:paraId="3490E78F" w14:textId="77777777" w:rsidR="006F1A8E" w:rsidRDefault="006F1A8E" w:rsidP="006F1A8E">
      <w:pPr>
        <w:spacing w:after="0" w:line="240" w:lineRule="auto"/>
      </w:pPr>
    </w:p>
    <w:p w14:paraId="36101EEF" w14:textId="77777777" w:rsidR="006F1A8E" w:rsidRDefault="006F1A8E" w:rsidP="006F1A8E">
      <w:pPr>
        <w:spacing w:after="0" w:line="240" w:lineRule="auto"/>
      </w:pPr>
    </w:p>
    <w:p w14:paraId="237F8354" w14:textId="77777777" w:rsidR="006F1A8E" w:rsidRDefault="006F1A8E" w:rsidP="006F1A8E">
      <w:pPr>
        <w:spacing w:after="0" w:line="240" w:lineRule="auto"/>
      </w:pPr>
      <w:r>
        <w:t>______________________________</w:t>
      </w:r>
      <w:r>
        <w:tab/>
      </w:r>
      <w:r>
        <w:tab/>
      </w:r>
      <w:r>
        <w:tab/>
      </w:r>
      <w:r>
        <w:tab/>
      </w:r>
      <w:r>
        <w:tab/>
        <w:t>________________________________</w:t>
      </w:r>
    </w:p>
    <w:p w14:paraId="6DDDF272" w14:textId="77777777" w:rsidR="006F1A8E" w:rsidRPr="006F1A8E" w:rsidRDefault="006F1A8E" w:rsidP="006F1A8E">
      <w:pPr>
        <w:spacing w:after="0" w:line="240" w:lineRule="auto"/>
        <w:rPr>
          <w:b/>
        </w:rPr>
      </w:pPr>
      <w:r w:rsidRPr="006F1A8E">
        <w:rPr>
          <w:b/>
        </w:rPr>
        <w:t>Guillermo García Realpe</w:t>
      </w:r>
      <w:r w:rsidRPr="006F1A8E">
        <w:rPr>
          <w:b/>
        </w:rPr>
        <w:tab/>
      </w:r>
      <w:r w:rsidRPr="006F1A8E">
        <w:rPr>
          <w:b/>
        </w:rPr>
        <w:tab/>
      </w:r>
      <w:r w:rsidRPr="006F1A8E">
        <w:rPr>
          <w:b/>
        </w:rPr>
        <w:tab/>
      </w:r>
      <w:r w:rsidRPr="006F1A8E">
        <w:rPr>
          <w:b/>
        </w:rPr>
        <w:tab/>
      </w:r>
      <w:r w:rsidRPr="006F1A8E">
        <w:rPr>
          <w:b/>
        </w:rPr>
        <w:tab/>
        <w:t>Silvio Carrasquilla Torres</w:t>
      </w:r>
    </w:p>
    <w:p w14:paraId="0A15D92F" w14:textId="76AB03CF" w:rsidR="008A4AA6" w:rsidRDefault="006F1A8E" w:rsidP="006F1A8E">
      <w:r w:rsidRPr="006F1A8E">
        <w:rPr>
          <w:b/>
        </w:rPr>
        <w:t>Senador</w:t>
      </w:r>
      <w:r w:rsidRPr="006F1A8E">
        <w:rPr>
          <w:b/>
        </w:rPr>
        <w:tab/>
      </w:r>
      <w:r w:rsidRPr="006F1A8E">
        <w:rPr>
          <w:b/>
        </w:rPr>
        <w:tab/>
      </w:r>
      <w:r w:rsidRPr="006F1A8E">
        <w:rPr>
          <w:b/>
        </w:rPr>
        <w:tab/>
      </w:r>
      <w:r w:rsidRPr="006F1A8E">
        <w:rPr>
          <w:b/>
        </w:rPr>
        <w:tab/>
      </w:r>
      <w:r w:rsidRPr="006F1A8E">
        <w:rPr>
          <w:b/>
        </w:rPr>
        <w:tab/>
      </w:r>
      <w:r w:rsidRPr="006F1A8E">
        <w:rPr>
          <w:b/>
        </w:rPr>
        <w:tab/>
      </w:r>
      <w:r w:rsidRPr="006F1A8E">
        <w:rPr>
          <w:b/>
        </w:rPr>
        <w:tab/>
        <w:t>Representante</w:t>
      </w:r>
    </w:p>
    <w:sectPr w:rsidR="008A4AA6" w:rsidSect="00A143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E66E928A"/>
    <w:lvl w:ilvl="0" w:tplc="2A7AF43A">
      <w:start w:val="1"/>
      <w:numFmt w:val="low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06A27"/>
    <w:multiLevelType w:val="hybridMultilevel"/>
    <w:tmpl w:val="BCB047DC"/>
    <w:lvl w:ilvl="0" w:tplc="AF421F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9BB4737"/>
    <w:multiLevelType w:val="hybridMultilevel"/>
    <w:tmpl w:val="E480B91E"/>
    <w:lvl w:ilvl="0" w:tplc="5AF4AB0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7106482B"/>
    <w:multiLevelType w:val="hybridMultilevel"/>
    <w:tmpl w:val="3FB0C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F3"/>
    <w:rsid w:val="002905F3"/>
    <w:rsid w:val="004D6A1E"/>
    <w:rsid w:val="00502A5D"/>
    <w:rsid w:val="005807F9"/>
    <w:rsid w:val="00592AD1"/>
    <w:rsid w:val="00680B40"/>
    <w:rsid w:val="006F1A8E"/>
    <w:rsid w:val="008A4AA6"/>
    <w:rsid w:val="00A14383"/>
    <w:rsid w:val="00AA5E35"/>
    <w:rsid w:val="00E32E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00B18"/>
  <w14:defaultImageDpi w14:val="300"/>
  <w15:docId w15:val="{27EC7763-D12F-4DCF-ACAA-8B3D0163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F3"/>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05F3"/>
    <w:rPr>
      <w:rFonts w:eastAsiaTheme="minorHAnsi"/>
      <w:sz w:val="22"/>
      <w:szCs w:val="22"/>
      <w:lang w:val="es-CO" w:eastAsia="en-US"/>
    </w:rPr>
  </w:style>
  <w:style w:type="table" w:styleId="Tablaconcuadrcula">
    <w:name w:val="Table Grid"/>
    <w:basedOn w:val="Tablanormal"/>
    <w:uiPriority w:val="59"/>
    <w:rsid w:val="0029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05F3"/>
    <w:pPr>
      <w:spacing w:after="0" w:line="240" w:lineRule="auto"/>
      <w:ind w:left="720"/>
      <w:contextualSpacing/>
    </w:pPr>
    <w:rPr>
      <w:rFonts w:eastAsiaTheme="minorEastAsia"/>
      <w:sz w:val="24"/>
      <w:szCs w:val="24"/>
      <w:lang w:val="en-GB" w:eastAsia="es-ES"/>
    </w:rPr>
  </w:style>
  <w:style w:type="paragraph" w:styleId="Textodeglobo">
    <w:name w:val="Balloon Text"/>
    <w:basedOn w:val="Normal"/>
    <w:link w:val="TextodegloboCar"/>
    <w:uiPriority w:val="99"/>
    <w:semiHidden/>
    <w:unhideWhenUsed/>
    <w:rsid w:val="00592A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2AD1"/>
    <w:rPr>
      <w:rFonts w:ascii="Segoe UI" w:eastAsiaTheme="minorHAnsi" w:hAnsi="Segoe UI" w:cs="Segoe UI"/>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6879</Words>
  <Characters>37838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hasbleidy suarez</cp:lastModifiedBy>
  <cp:revision>4</cp:revision>
  <cp:lastPrinted>2017-04-26T00:20:00Z</cp:lastPrinted>
  <dcterms:created xsi:type="dcterms:W3CDTF">2017-04-25T21:20:00Z</dcterms:created>
  <dcterms:modified xsi:type="dcterms:W3CDTF">2017-04-26T00:27:00Z</dcterms:modified>
</cp:coreProperties>
</file>